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26C1D236" w:rsidR="000403E2" w:rsidRPr="0049619F"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w:t>
      </w:r>
      <w:r w:rsidR="0046079B">
        <w:rPr>
          <w:rFonts w:ascii="Arial" w:eastAsia="Batang" w:hAnsi="Arial" w:cs="Arial"/>
          <w:b/>
          <w:bCs/>
          <w:sz w:val="28"/>
          <w:szCs w:val="24"/>
          <w:lang w:val="en-GB"/>
        </w:rPr>
        <w:t>10</w:t>
      </w:r>
      <w:r w:rsidR="0049619F">
        <w:rPr>
          <w:rFonts w:ascii="Arial" w:eastAsia="Batang" w:hAnsi="Arial" w:cs="Arial"/>
          <w:b/>
          <w:bCs/>
          <w:sz w:val="28"/>
          <w:szCs w:val="24"/>
          <w:lang w:val="en-GB"/>
        </w:rPr>
        <w:t>1</w:t>
      </w:r>
      <w:r w:rsidR="000403E2" w:rsidRPr="000403E2">
        <w:rPr>
          <w:rFonts w:ascii="Arial" w:eastAsia="Batang" w:hAnsi="Arial" w:cs="Arial"/>
          <w:b/>
          <w:bCs/>
          <w:sz w:val="28"/>
          <w:szCs w:val="24"/>
          <w:lang w:val="en-GB"/>
        </w:rPr>
        <w:tab/>
      </w:r>
      <w:r w:rsidR="00142174" w:rsidRPr="0049619F">
        <w:rPr>
          <w:rFonts w:ascii="Arial" w:eastAsia="Batang" w:hAnsi="Arial" w:cs="Arial"/>
          <w:b/>
          <w:bCs/>
          <w:sz w:val="28"/>
          <w:szCs w:val="24"/>
          <w:lang w:val="en-GB"/>
        </w:rPr>
        <w:t>R1-</w:t>
      </w:r>
      <w:r w:rsidR="0046079B" w:rsidRPr="0049619F">
        <w:rPr>
          <w:rFonts w:ascii="Arial" w:eastAsia="Batang" w:hAnsi="Arial" w:cs="Arial"/>
          <w:b/>
          <w:bCs/>
          <w:sz w:val="28"/>
          <w:szCs w:val="24"/>
          <w:lang w:val="en-GB"/>
        </w:rPr>
        <w:t>20</w:t>
      </w:r>
      <w:r w:rsidR="00A15421" w:rsidRPr="0049619F">
        <w:rPr>
          <w:rFonts w:ascii="Arial" w:eastAsia="Batang" w:hAnsi="Arial" w:cs="Arial"/>
          <w:b/>
          <w:bCs/>
          <w:sz w:val="28"/>
          <w:szCs w:val="24"/>
          <w:lang w:val="en-GB"/>
        </w:rPr>
        <w:t>0</w:t>
      </w:r>
      <w:r w:rsidR="007B1654">
        <w:rPr>
          <w:rFonts w:ascii="Arial" w:eastAsia="Batang" w:hAnsi="Arial" w:cs="Arial"/>
          <w:b/>
          <w:bCs/>
          <w:sz w:val="28"/>
          <w:szCs w:val="24"/>
          <w:lang w:val="en-GB"/>
        </w:rPr>
        <w:t>4194</w:t>
      </w:r>
    </w:p>
    <w:p w14:paraId="28529A4B" w14:textId="1DC927A9" w:rsidR="00D141B3" w:rsidRDefault="00D141B3"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r>
        <w:rPr>
          <w:rFonts w:ascii="Arial" w:eastAsia="MS Mincho" w:hAnsi="Arial" w:cs="Arial"/>
          <w:b/>
          <w:bCs/>
          <w:sz w:val="28"/>
          <w:lang w:eastAsia="ja-JP"/>
        </w:rPr>
        <w:t xml:space="preserve">e-meeting. </w:t>
      </w:r>
      <w:r w:rsidR="0049619F">
        <w:rPr>
          <w:rFonts w:ascii="Arial" w:eastAsia="MS Mincho" w:hAnsi="Arial" w:cs="Arial"/>
          <w:b/>
          <w:bCs/>
          <w:sz w:val="28"/>
          <w:lang w:eastAsia="ja-JP"/>
        </w:rPr>
        <w:t>25</w:t>
      </w:r>
      <w:r w:rsidR="0049619F" w:rsidRPr="0049619F">
        <w:rPr>
          <w:rFonts w:ascii="Arial" w:eastAsia="MS Mincho" w:hAnsi="Arial" w:cs="Arial"/>
          <w:b/>
          <w:bCs/>
          <w:sz w:val="28"/>
          <w:vertAlign w:val="superscript"/>
          <w:lang w:eastAsia="ja-JP"/>
        </w:rPr>
        <w:t>th</w:t>
      </w:r>
      <w:r w:rsidR="0049619F">
        <w:rPr>
          <w:rFonts w:ascii="Arial" w:eastAsia="MS Mincho" w:hAnsi="Arial" w:cs="Arial"/>
          <w:b/>
          <w:bCs/>
          <w:sz w:val="28"/>
          <w:lang w:eastAsia="ja-JP"/>
        </w:rPr>
        <w:t xml:space="preserve"> May – 5</w:t>
      </w:r>
      <w:r w:rsidR="0049619F" w:rsidRPr="0049619F">
        <w:rPr>
          <w:rFonts w:ascii="Arial" w:eastAsia="MS Mincho" w:hAnsi="Arial" w:cs="Arial"/>
          <w:b/>
          <w:bCs/>
          <w:sz w:val="28"/>
          <w:vertAlign w:val="superscript"/>
          <w:lang w:eastAsia="ja-JP"/>
        </w:rPr>
        <w:t>th</w:t>
      </w:r>
      <w:r w:rsidR="0049619F">
        <w:rPr>
          <w:rFonts w:ascii="Arial" w:eastAsia="MS Mincho" w:hAnsi="Arial" w:cs="Arial"/>
          <w:b/>
          <w:bCs/>
          <w:sz w:val="28"/>
          <w:lang w:eastAsia="ja-JP"/>
        </w:rPr>
        <w:t xml:space="preserve"> June</w:t>
      </w:r>
      <w:r>
        <w:rPr>
          <w:rFonts w:ascii="Arial" w:eastAsia="MS Mincho" w:hAnsi="Arial" w:cs="Arial"/>
          <w:b/>
          <w:bCs/>
          <w:sz w:val="28"/>
          <w:lang w:eastAsia="ja-JP"/>
        </w:rPr>
        <w:t xml:space="preserve"> 2020</w:t>
      </w:r>
    </w:p>
    <w:p w14:paraId="50247796" w14:textId="60D886F8"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p w14:paraId="6DBEBF6B" w14:textId="23949182"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bookmarkEnd w:id="0"/>
    <w:p w14:paraId="59F145D0" w14:textId="59B247C1"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r>
      <w:r w:rsidR="000E55AC">
        <w:rPr>
          <w:b/>
          <w:color w:val="000000" w:themeColor="text1"/>
          <w:kern w:val="2"/>
          <w:sz w:val="24"/>
          <w:lang w:eastAsia="zh-CN"/>
        </w:rPr>
        <w:t>8.3.</w:t>
      </w:r>
      <w:r w:rsidR="00F73C61">
        <w:rPr>
          <w:b/>
          <w:color w:val="000000" w:themeColor="text1"/>
          <w:kern w:val="2"/>
          <w:sz w:val="24"/>
          <w:lang w:eastAsia="zh-CN"/>
        </w:rPr>
        <w:t>2</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6F9B7EE7"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AF5853">
        <w:rPr>
          <w:rFonts w:eastAsia="MS Mincho"/>
          <w:b/>
          <w:color w:val="000000" w:themeColor="text1"/>
          <w:kern w:val="2"/>
          <w:sz w:val="24"/>
          <w:lang w:eastAsia="ja-JP"/>
        </w:rPr>
        <w:t>Battery lifetime enhancement</w:t>
      </w:r>
      <w:r w:rsidR="00F73C61">
        <w:rPr>
          <w:rFonts w:eastAsia="MS Mincho"/>
          <w:b/>
          <w:color w:val="000000" w:themeColor="text1"/>
          <w:kern w:val="2"/>
          <w:sz w:val="24"/>
          <w:lang w:eastAsia="ja-JP"/>
        </w:rPr>
        <w:t xml:space="preserve"> for </w:t>
      </w:r>
      <w:r w:rsidR="00AF5853">
        <w:rPr>
          <w:rFonts w:eastAsia="MS Mincho"/>
          <w:b/>
          <w:color w:val="000000" w:themeColor="text1"/>
          <w:kern w:val="2"/>
          <w:sz w:val="24"/>
          <w:lang w:eastAsia="ja-JP"/>
        </w:rPr>
        <w:t xml:space="preserve">reduced capability </w:t>
      </w:r>
      <w:r w:rsidR="00F73C61">
        <w:rPr>
          <w:rFonts w:eastAsia="MS Mincho"/>
          <w:b/>
          <w:color w:val="000000" w:themeColor="text1"/>
          <w:kern w:val="2"/>
          <w:sz w:val="24"/>
          <w:lang w:eastAsia="ja-JP"/>
        </w:rPr>
        <w:t>NR devices through reduction of PDCCH monitoring</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52B0A446" w14:textId="5396A704" w:rsidR="000E55AC" w:rsidRDefault="000E55AC" w:rsidP="000A7089">
      <w:pPr>
        <w:autoSpaceDE/>
        <w:autoSpaceDN/>
        <w:adjustRightInd/>
        <w:snapToGrid/>
        <w:spacing w:after="240"/>
        <w:rPr>
          <w:color w:val="000000" w:themeColor="text1"/>
          <w:lang w:eastAsia="zh-CN"/>
        </w:rPr>
      </w:pPr>
      <w:r>
        <w:rPr>
          <w:color w:val="000000" w:themeColor="text1"/>
          <w:lang w:eastAsia="zh-CN"/>
        </w:rPr>
        <w:t xml:space="preserve">A study item on complexity reduction for NR UE devices was approved at </w:t>
      </w:r>
      <w:r w:rsidRPr="00784ECC">
        <w:rPr>
          <w:color w:val="000000" w:themeColor="text1"/>
          <w:lang w:eastAsia="zh-CN"/>
        </w:rPr>
        <w:t>RAN#</w:t>
      </w:r>
      <w:r w:rsidR="00784ECC" w:rsidRPr="00784ECC">
        <w:rPr>
          <w:color w:val="000000" w:themeColor="text1"/>
          <w:lang w:eastAsia="zh-CN"/>
        </w:rPr>
        <w:t>86</w:t>
      </w:r>
      <w:r w:rsidRPr="00784ECC">
        <w:rPr>
          <w:color w:val="000000" w:themeColor="text1"/>
          <w:lang w:eastAsia="zh-CN"/>
        </w:rPr>
        <w:t xml:space="preserve">, </w:t>
      </w:r>
      <w:r w:rsidR="00966887" w:rsidRPr="00784ECC">
        <w:rPr>
          <w:color w:val="000000" w:themeColor="text1"/>
          <w:lang w:eastAsia="zh-CN"/>
        </w:rPr>
        <w:t>including</w:t>
      </w:r>
      <w:r>
        <w:rPr>
          <w:color w:val="000000" w:themeColor="text1"/>
          <w:lang w:eastAsia="zh-CN"/>
        </w:rPr>
        <w:t xml:space="preserve"> the following objectives</w:t>
      </w:r>
      <w:r w:rsidR="00966887">
        <w:rPr>
          <w:color w:val="000000" w:themeColor="text1"/>
          <w:lang w:eastAsia="zh-CN"/>
        </w:rPr>
        <w:t xml:space="preserve"> related to UE power saving and battery lifetime enhancements</w:t>
      </w:r>
      <w:r w:rsidR="00693D15">
        <w:rPr>
          <w:color w:val="000000" w:themeColor="text1"/>
          <w:lang w:eastAsia="zh-CN"/>
        </w:rPr>
        <w:t xml:space="preserve"> (aspects that are less relevant for this agenda item are </w:t>
      </w:r>
      <w:proofErr w:type="spellStart"/>
      <w:r w:rsidR="00693D15">
        <w:rPr>
          <w:color w:val="000000" w:themeColor="text1"/>
          <w:lang w:eastAsia="zh-CN"/>
        </w:rPr>
        <w:t>de-emphasised</w:t>
      </w:r>
      <w:proofErr w:type="spellEnd"/>
      <w:r w:rsidR="00693D15">
        <w:rPr>
          <w:color w:val="000000" w:themeColor="text1"/>
          <w:lang w:eastAsia="zh-CN"/>
        </w:rPr>
        <w:t>)</w:t>
      </w:r>
      <w:r>
        <w:rPr>
          <w:color w:val="000000" w:themeColor="text1"/>
          <w:lang w:eastAsia="zh-CN"/>
        </w:rPr>
        <w:t>:</w:t>
      </w:r>
    </w:p>
    <w:p w14:paraId="6A273DF4" w14:textId="77777777" w:rsidR="00482552" w:rsidRPr="00693D15" w:rsidRDefault="00482552" w:rsidP="00482552">
      <w:pPr>
        <w:ind w:right="-99"/>
        <w:rPr>
          <w:rFonts w:eastAsia="SimSun"/>
          <w:color w:val="9CC2E5" w:themeColor="accent1" w:themeTint="99"/>
          <w:lang w:eastAsia="ja-JP"/>
        </w:rPr>
      </w:pPr>
      <w:r w:rsidRPr="00693D15">
        <w:rPr>
          <w:rFonts w:eastAsia="SimSun"/>
          <w:color w:val="9CC2E5" w:themeColor="accent1" w:themeTint="99"/>
          <w:lang w:eastAsia="ja-JP"/>
        </w:rPr>
        <w:t xml:space="preserve">Identify and study potential UE complexity reduction features, including [RAN1, RAN2]: </w:t>
      </w:r>
    </w:p>
    <w:p w14:paraId="7E80AB3A" w14:textId="77777777" w:rsidR="00482552" w:rsidRPr="00693D15" w:rsidRDefault="00482552" w:rsidP="00482552">
      <w:pPr>
        <w:pStyle w:val="ListParagraph"/>
        <w:numPr>
          <w:ilvl w:val="0"/>
          <w:numId w:val="32"/>
        </w:numPr>
        <w:spacing w:after="160" w:line="259" w:lineRule="auto"/>
        <w:ind w:right="-99"/>
        <w:contextualSpacing/>
        <w:jc w:val="left"/>
        <w:rPr>
          <w:rFonts w:ascii="Times New Roman" w:hAnsi="Times New Roman"/>
          <w:color w:val="9CC2E5" w:themeColor="accent1" w:themeTint="99"/>
          <w:sz w:val="20"/>
          <w:szCs w:val="20"/>
        </w:rPr>
      </w:pPr>
      <w:r w:rsidRPr="00693D15">
        <w:rPr>
          <w:rFonts w:ascii="Times New Roman" w:hAnsi="Times New Roman"/>
          <w:color w:val="9CC2E5" w:themeColor="accent1" w:themeTint="99"/>
          <w:sz w:val="20"/>
          <w:szCs w:val="20"/>
        </w:rPr>
        <w:t>Reduced number of UE RX/TX antennas</w:t>
      </w:r>
    </w:p>
    <w:p w14:paraId="2935DE5C" w14:textId="77777777" w:rsidR="00482552" w:rsidRPr="00693D15" w:rsidRDefault="00482552" w:rsidP="00482552">
      <w:pPr>
        <w:pStyle w:val="ListParagraph"/>
        <w:numPr>
          <w:ilvl w:val="0"/>
          <w:numId w:val="32"/>
        </w:numPr>
        <w:spacing w:after="160" w:line="259" w:lineRule="auto"/>
        <w:ind w:right="-99"/>
        <w:contextualSpacing/>
        <w:jc w:val="left"/>
        <w:rPr>
          <w:rFonts w:ascii="Times New Roman" w:hAnsi="Times New Roman"/>
          <w:color w:val="9CC2E5" w:themeColor="accent1" w:themeTint="99"/>
          <w:sz w:val="20"/>
          <w:szCs w:val="20"/>
        </w:rPr>
      </w:pPr>
      <w:r w:rsidRPr="00693D15">
        <w:rPr>
          <w:rFonts w:ascii="Times New Roman" w:hAnsi="Times New Roman"/>
          <w:color w:val="9CC2E5" w:themeColor="accent1" w:themeTint="99"/>
          <w:sz w:val="20"/>
          <w:szCs w:val="20"/>
        </w:rPr>
        <w:t xml:space="preserve">UE Bandwidth reduction </w:t>
      </w:r>
    </w:p>
    <w:p w14:paraId="12A046DE" w14:textId="77777777" w:rsidR="00482552" w:rsidRPr="00693D15" w:rsidRDefault="00482552" w:rsidP="00482552">
      <w:pPr>
        <w:pStyle w:val="ListParagraph"/>
        <w:spacing w:after="160" w:line="259" w:lineRule="auto"/>
        <w:ind w:right="-99"/>
        <w:rPr>
          <w:rFonts w:ascii="Times New Roman" w:hAnsi="Times New Roman"/>
          <w:color w:val="9CC2E5" w:themeColor="accent1" w:themeTint="99"/>
          <w:sz w:val="20"/>
          <w:szCs w:val="20"/>
        </w:rPr>
      </w:pPr>
      <w:r w:rsidRPr="00693D15">
        <w:rPr>
          <w:rFonts w:ascii="Times New Roman" w:hAnsi="Times New Roman"/>
          <w:color w:val="9CC2E5" w:themeColor="accent1" w:themeTint="99"/>
          <w:sz w:val="20"/>
          <w:szCs w:val="20"/>
        </w:rPr>
        <w:t xml:space="preserve">Note: Rel-15 SSB bandwidth should be reused and L1 changes minimized </w:t>
      </w:r>
    </w:p>
    <w:p w14:paraId="29CB6527" w14:textId="77777777" w:rsidR="00482552" w:rsidRPr="00693D15" w:rsidRDefault="00482552" w:rsidP="00482552">
      <w:pPr>
        <w:pStyle w:val="ListParagraph"/>
        <w:numPr>
          <w:ilvl w:val="0"/>
          <w:numId w:val="32"/>
        </w:numPr>
        <w:spacing w:after="160" w:line="259" w:lineRule="auto"/>
        <w:ind w:right="-99"/>
        <w:contextualSpacing/>
        <w:jc w:val="left"/>
        <w:rPr>
          <w:rFonts w:ascii="Times New Roman" w:hAnsi="Times New Roman"/>
          <w:color w:val="9CC2E5" w:themeColor="accent1" w:themeTint="99"/>
          <w:sz w:val="20"/>
          <w:szCs w:val="20"/>
        </w:rPr>
      </w:pPr>
      <w:r w:rsidRPr="00693D15">
        <w:rPr>
          <w:rFonts w:ascii="Times New Roman" w:hAnsi="Times New Roman"/>
          <w:color w:val="9CC2E5" w:themeColor="accent1" w:themeTint="99"/>
          <w:sz w:val="20"/>
          <w:szCs w:val="20"/>
        </w:rPr>
        <w:t xml:space="preserve">Half-Duplex-FDD </w:t>
      </w:r>
    </w:p>
    <w:p w14:paraId="7AF44CFA" w14:textId="77777777" w:rsidR="00482552" w:rsidRPr="00693D15" w:rsidRDefault="00482552" w:rsidP="00482552">
      <w:pPr>
        <w:pStyle w:val="ListParagraph"/>
        <w:numPr>
          <w:ilvl w:val="0"/>
          <w:numId w:val="32"/>
        </w:numPr>
        <w:spacing w:after="160" w:line="259" w:lineRule="auto"/>
        <w:ind w:right="-99"/>
        <w:contextualSpacing/>
        <w:jc w:val="left"/>
        <w:rPr>
          <w:rFonts w:ascii="Times New Roman" w:hAnsi="Times New Roman"/>
          <w:color w:val="9CC2E5" w:themeColor="accent1" w:themeTint="99"/>
          <w:sz w:val="20"/>
          <w:szCs w:val="20"/>
        </w:rPr>
      </w:pPr>
      <w:r w:rsidRPr="00693D15">
        <w:rPr>
          <w:rFonts w:ascii="Times New Roman" w:hAnsi="Times New Roman"/>
          <w:color w:val="9CC2E5" w:themeColor="accent1" w:themeTint="99"/>
          <w:sz w:val="20"/>
          <w:szCs w:val="20"/>
        </w:rPr>
        <w:t xml:space="preserve">Relaxed UE processing time </w:t>
      </w:r>
    </w:p>
    <w:p w14:paraId="0939FB6D" w14:textId="77777777" w:rsidR="00482552" w:rsidRPr="00693D15" w:rsidRDefault="00482552" w:rsidP="00482552">
      <w:pPr>
        <w:pStyle w:val="ListParagraph"/>
        <w:numPr>
          <w:ilvl w:val="0"/>
          <w:numId w:val="32"/>
        </w:numPr>
        <w:spacing w:after="160" w:line="259" w:lineRule="auto"/>
        <w:ind w:right="-99"/>
        <w:contextualSpacing/>
        <w:jc w:val="left"/>
        <w:rPr>
          <w:rFonts w:ascii="Times New Roman" w:hAnsi="Times New Roman"/>
          <w:color w:val="9CC2E5" w:themeColor="accent1" w:themeTint="99"/>
          <w:sz w:val="20"/>
          <w:szCs w:val="20"/>
        </w:rPr>
      </w:pPr>
      <w:r w:rsidRPr="00693D15">
        <w:rPr>
          <w:rFonts w:ascii="Times New Roman" w:hAnsi="Times New Roman"/>
          <w:color w:val="9CC2E5" w:themeColor="accent1" w:themeTint="99"/>
          <w:sz w:val="20"/>
          <w:szCs w:val="20"/>
        </w:rPr>
        <w:t xml:space="preserve">Relaxed UE processing capability </w:t>
      </w:r>
    </w:p>
    <w:p w14:paraId="106F2798" w14:textId="77777777" w:rsidR="00482552" w:rsidRPr="00482552" w:rsidRDefault="00482552" w:rsidP="00482552">
      <w:pPr>
        <w:pStyle w:val="ListParagraph"/>
        <w:spacing w:after="160" w:line="259" w:lineRule="auto"/>
        <w:ind w:left="0" w:right="-99"/>
        <w:rPr>
          <w:rFonts w:ascii="Times New Roman" w:hAnsi="Times New Roman"/>
          <w:color w:val="0070C0"/>
          <w:sz w:val="20"/>
          <w:szCs w:val="20"/>
        </w:rPr>
      </w:pPr>
    </w:p>
    <w:p w14:paraId="134E9F07" w14:textId="77777777" w:rsidR="00482552" w:rsidRPr="00693D15" w:rsidRDefault="00482552" w:rsidP="00482552">
      <w:pPr>
        <w:ind w:right="-99"/>
        <w:rPr>
          <w:rFonts w:eastAsia="SimSun"/>
          <w:color w:val="9CC2E5" w:themeColor="accent1" w:themeTint="99"/>
          <w:lang w:eastAsia="ja-JP"/>
        </w:rPr>
      </w:pPr>
      <w:r w:rsidRPr="00693D15">
        <w:rPr>
          <w:rFonts w:eastAsia="SimSun"/>
          <w:color w:val="9CC2E5" w:themeColor="accent1" w:themeTint="99"/>
          <w:lang w:eastAsia="ja-JP"/>
        </w:rPr>
        <w:t>Note1: The work defined above should not overlap with LPWA use cases. The lowest capability considered should be no less than an LTE Category 1bis modem.</w:t>
      </w:r>
    </w:p>
    <w:p w14:paraId="4A379AD8" w14:textId="77777777" w:rsidR="00482552" w:rsidRPr="00482552" w:rsidRDefault="00482552" w:rsidP="00482552">
      <w:pPr>
        <w:ind w:right="-99"/>
        <w:rPr>
          <w:rFonts w:eastAsia="SimSun"/>
          <w:color w:val="0070C0"/>
          <w:lang w:eastAsia="ja-JP"/>
        </w:rPr>
      </w:pPr>
      <w:r w:rsidRPr="00482552">
        <w:rPr>
          <w:rFonts w:eastAsia="SimSun"/>
          <w:color w:val="0070C0"/>
          <w:lang w:eastAsia="ja-JP"/>
        </w:rPr>
        <w:t xml:space="preserve">Study UE power saving and battery lifetime enhancement for reduced capability UEs in applicable use cases (e.g. delay tolerant) [RAN2, RAN1]: </w:t>
      </w:r>
    </w:p>
    <w:p w14:paraId="523C3F5D" w14:textId="77777777" w:rsidR="00482552" w:rsidRPr="00482552" w:rsidRDefault="00482552" w:rsidP="00482552">
      <w:pPr>
        <w:pStyle w:val="ListParagraph"/>
        <w:numPr>
          <w:ilvl w:val="0"/>
          <w:numId w:val="32"/>
        </w:numPr>
        <w:spacing w:after="160" w:line="259" w:lineRule="auto"/>
        <w:ind w:right="-99"/>
        <w:contextualSpacing/>
        <w:jc w:val="left"/>
        <w:rPr>
          <w:rFonts w:ascii="Times New Roman" w:hAnsi="Times New Roman"/>
          <w:color w:val="0070C0"/>
          <w:sz w:val="20"/>
          <w:szCs w:val="20"/>
        </w:rPr>
      </w:pPr>
      <w:r w:rsidRPr="00482552">
        <w:rPr>
          <w:rFonts w:ascii="Times New Roman" w:hAnsi="Times New Roman"/>
          <w:color w:val="0070C0"/>
          <w:sz w:val="20"/>
          <w:szCs w:val="20"/>
        </w:rPr>
        <w:t>Reduced PDCCH monitoring by smaller numbers of blind decodes and CCE limits [RAN1].</w:t>
      </w:r>
    </w:p>
    <w:p w14:paraId="6C57A607" w14:textId="77777777" w:rsidR="00482552" w:rsidRPr="00482552" w:rsidRDefault="00482552" w:rsidP="00482552">
      <w:pPr>
        <w:pStyle w:val="ListParagraph"/>
        <w:numPr>
          <w:ilvl w:val="0"/>
          <w:numId w:val="32"/>
        </w:numPr>
        <w:spacing w:after="160" w:line="259" w:lineRule="auto"/>
        <w:ind w:right="-99"/>
        <w:contextualSpacing/>
        <w:jc w:val="left"/>
        <w:rPr>
          <w:rFonts w:ascii="Times New Roman" w:hAnsi="Times New Roman"/>
          <w:color w:val="0070C0"/>
          <w:sz w:val="20"/>
          <w:szCs w:val="20"/>
        </w:rPr>
      </w:pPr>
      <w:r w:rsidRPr="00482552">
        <w:rPr>
          <w:rFonts w:ascii="Times New Roman" w:hAnsi="Times New Roman"/>
          <w:color w:val="0070C0"/>
          <w:sz w:val="20"/>
          <w:szCs w:val="20"/>
        </w:rPr>
        <w:t>Extended DRX for RRC Inactive and/or Idle [RAN2]</w:t>
      </w:r>
    </w:p>
    <w:p w14:paraId="7989532D" w14:textId="77777777" w:rsidR="00482552" w:rsidRPr="00482552" w:rsidRDefault="00482552" w:rsidP="00482552">
      <w:pPr>
        <w:pStyle w:val="ListParagraph"/>
        <w:numPr>
          <w:ilvl w:val="0"/>
          <w:numId w:val="32"/>
        </w:numPr>
        <w:spacing w:after="160" w:line="259" w:lineRule="auto"/>
        <w:ind w:right="-99"/>
        <w:contextualSpacing/>
        <w:jc w:val="left"/>
        <w:rPr>
          <w:rFonts w:ascii="Times New Roman" w:hAnsi="Times New Roman"/>
          <w:color w:val="0070C0"/>
          <w:sz w:val="20"/>
          <w:szCs w:val="20"/>
        </w:rPr>
      </w:pPr>
      <w:r w:rsidRPr="00482552">
        <w:rPr>
          <w:rFonts w:ascii="Times New Roman" w:hAnsi="Times New Roman"/>
          <w:color w:val="0070C0"/>
          <w:sz w:val="20"/>
          <w:szCs w:val="20"/>
        </w:rPr>
        <w:t>RRM relaxation for stationary devices [RAN2]</w:t>
      </w:r>
    </w:p>
    <w:p w14:paraId="2448D046" w14:textId="77777777" w:rsidR="00482552" w:rsidRPr="00693D15" w:rsidRDefault="00482552" w:rsidP="00482552">
      <w:pPr>
        <w:ind w:right="-99"/>
        <w:rPr>
          <w:rFonts w:eastAsia="SimSun"/>
          <w:color w:val="9CC2E5" w:themeColor="accent1" w:themeTint="99"/>
          <w:lang w:eastAsia="ja-JP"/>
        </w:rPr>
      </w:pPr>
      <w:r w:rsidRPr="00693D15">
        <w:rPr>
          <w:rFonts w:eastAsia="SimSun"/>
          <w:color w:val="9CC2E5" w:themeColor="accent1" w:themeTint="99"/>
          <w:lang w:eastAsia="ja-JP"/>
        </w:rPr>
        <w:t>Study functionality that will enable the performance degradation of such complexity reduction to be mitigated or limited, including [RAN1]:</w:t>
      </w:r>
    </w:p>
    <w:p w14:paraId="186AC8B3" w14:textId="77777777" w:rsidR="00482552" w:rsidRPr="00693D15" w:rsidRDefault="00482552" w:rsidP="00482552">
      <w:pPr>
        <w:numPr>
          <w:ilvl w:val="0"/>
          <w:numId w:val="33"/>
        </w:numPr>
        <w:overflowPunct w:val="0"/>
        <w:snapToGrid/>
        <w:spacing w:after="180"/>
        <w:ind w:right="-99"/>
        <w:jc w:val="left"/>
        <w:textAlignment w:val="baseline"/>
        <w:rPr>
          <w:color w:val="9CC2E5" w:themeColor="accent1" w:themeTint="99"/>
          <w:lang w:eastAsia="zh-CN"/>
        </w:rPr>
      </w:pPr>
      <w:r w:rsidRPr="00693D15">
        <w:rPr>
          <w:color w:val="9CC2E5" w:themeColor="accent1" w:themeTint="99"/>
        </w:rPr>
        <w:t xml:space="preserve">Coverage recovery to compensate for potential coverage reduction due to the device complexity reduction. </w:t>
      </w:r>
    </w:p>
    <w:p w14:paraId="53A24881" w14:textId="77777777" w:rsidR="00482552" w:rsidRPr="00693D15" w:rsidRDefault="00482552" w:rsidP="00482552">
      <w:pPr>
        <w:ind w:right="-99"/>
        <w:rPr>
          <w:rFonts w:eastAsia="SimSun"/>
          <w:color w:val="9CC2E5" w:themeColor="accent1" w:themeTint="99"/>
          <w:lang w:eastAsia="ja-JP"/>
        </w:rPr>
      </w:pPr>
      <w:r w:rsidRPr="00693D15">
        <w:rPr>
          <w:rFonts w:eastAsia="SimSun"/>
          <w:color w:val="9CC2E5" w:themeColor="accent1" w:themeTint="99"/>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13C44FA9" w14:textId="77777777" w:rsidR="00482552" w:rsidRPr="00693D15" w:rsidRDefault="00482552" w:rsidP="00482552">
      <w:pPr>
        <w:ind w:right="-99"/>
        <w:rPr>
          <w:rFonts w:eastAsia="SimSun"/>
          <w:color w:val="9CC2E5" w:themeColor="accent1" w:themeTint="99"/>
          <w:lang w:eastAsia="ja-JP"/>
        </w:rPr>
      </w:pPr>
      <w:r w:rsidRPr="00693D15">
        <w:rPr>
          <w:rFonts w:eastAsia="SimSun"/>
          <w:color w:val="9CC2E5" w:themeColor="accent1" w:themeTint="99"/>
          <w:lang w:eastAsia="ja-JP"/>
        </w:rPr>
        <w:t>Study functionality that will allow devices with reduced capabilities to be explicitly identifiable to networks and network operators, and allow operators to restrict their access, if desired [RAN2, RAN1].</w:t>
      </w:r>
    </w:p>
    <w:p w14:paraId="6D30D537" w14:textId="77777777" w:rsidR="00482552" w:rsidRPr="00693D15" w:rsidRDefault="00482552" w:rsidP="00482552">
      <w:pPr>
        <w:ind w:right="-99"/>
        <w:rPr>
          <w:rFonts w:eastAsia="SimSun"/>
          <w:color w:val="9CC2E5" w:themeColor="accent1" w:themeTint="99"/>
          <w:lang w:eastAsia="ja-JP"/>
        </w:rPr>
      </w:pPr>
      <w:r w:rsidRPr="00693D15">
        <w:rPr>
          <w:rFonts w:eastAsia="SimSun"/>
          <w:color w:val="9CC2E5" w:themeColor="accent1" w:themeTint="99"/>
          <w:lang w:eastAsia="ja-JP"/>
        </w:rPr>
        <w:t>Note2: Potential overlap with coverage enhancements study is discussed and resolved in RAN#87.</w:t>
      </w:r>
    </w:p>
    <w:p w14:paraId="0570A27C" w14:textId="77777777" w:rsidR="00482552" w:rsidRPr="00482552" w:rsidRDefault="00482552" w:rsidP="00482552">
      <w:pPr>
        <w:ind w:right="-99"/>
        <w:rPr>
          <w:rFonts w:eastAsia="SimSun"/>
          <w:color w:val="0070C0"/>
          <w:lang w:eastAsia="ja-JP"/>
        </w:rPr>
      </w:pPr>
      <w:bookmarkStart w:id="1" w:name="_Hlk26857702"/>
      <w:r w:rsidRPr="00482552">
        <w:rPr>
          <w:rFonts w:eastAsia="SimSun"/>
          <w:color w:val="0070C0"/>
          <w:lang w:eastAsia="ja-JP"/>
        </w:rPr>
        <w:t>Note3: Coexistence with Rel-15 and Rel-16 UE should be ensured</w:t>
      </w:r>
    </w:p>
    <w:p w14:paraId="4D161A21" w14:textId="77777777" w:rsidR="00482552" w:rsidRPr="00482552" w:rsidRDefault="00482552" w:rsidP="00482552">
      <w:pPr>
        <w:ind w:right="-99"/>
        <w:rPr>
          <w:rFonts w:eastAsia="SimSun"/>
          <w:color w:val="0070C0"/>
          <w:lang w:eastAsia="ja-JP"/>
        </w:rPr>
      </w:pPr>
      <w:r w:rsidRPr="00482552">
        <w:rPr>
          <w:rFonts w:eastAsia="SimSun"/>
          <w:color w:val="0070C0"/>
          <w:lang w:eastAsia="ja-JP"/>
        </w:rPr>
        <w:t>Note4: This SI should focus on SA mode and single connectivity</w:t>
      </w:r>
    </w:p>
    <w:bookmarkEnd w:id="1"/>
    <w:p w14:paraId="184D6A7B" w14:textId="3B604447" w:rsidR="00966887" w:rsidRDefault="00966887" w:rsidP="000A7089">
      <w:pPr>
        <w:autoSpaceDE/>
        <w:autoSpaceDN/>
        <w:adjustRightInd/>
        <w:snapToGrid/>
        <w:spacing w:after="240"/>
        <w:rPr>
          <w:color w:val="000000" w:themeColor="text1"/>
          <w:lang w:eastAsia="zh-CN"/>
        </w:rPr>
      </w:pPr>
    </w:p>
    <w:p w14:paraId="695762F2" w14:textId="587BC098" w:rsidR="00FB763D" w:rsidRDefault="00FB763D" w:rsidP="000A7089">
      <w:pPr>
        <w:autoSpaceDE/>
        <w:autoSpaceDN/>
        <w:adjustRightInd/>
        <w:snapToGrid/>
        <w:spacing w:after="240"/>
        <w:rPr>
          <w:color w:val="000000" w:themeColor="text1"/>
          <w:lang w:eastAsia="zh-CN"/>
        </w:rPr>
      </w:pPr>
    </w:p>
    <w:p w14:paraId="1E986987" w14:textId="6536C5D3" w:rsidR="00FB763D" w:rsidRDefault="00AF5853" w:rsidP="000A7089">
      <w:pPr>
        <w:autoSpaceDE/>
        <w:autoSpaceDN/>
        <w:adjustRightInd/>
        <w:snapToGrid/>
        <w:spacing w:after="240"/>
        <w:rPr>
          <w:lang w:eastAsia="zh-CN"/>
        </w:rPr>
      </w:pPr>
      <w:r>
        <w:rPr>
          <w:lang w:eastAsia="zh-CN"/>
        </w:rPr>
        <w:t xml:space="preserve">The SID is generally concerned with defining reduced capability NR devices, allowing NR to be applied to new use cases. </w:t>
      </w:r>
      <w:r w:rsidR="006047BE">
        <w:rPr>
          <w:lang w:eastAsia="zh-CN"/>
        </w:rPr>
        <w:t>N</w:t>
      </w:r>
      <w:r>
        <w:rPr>
          <w:lang w:eastAsia="zh-CN"/>
        </w:rPr>
        <w:t xml:space="preserve">ew use cases </w:t>
      </w:r>
      <w:r w:rsidR="006047BE">
        <w:rPr>
          <w:lang w:eastAsia="zh-CN"/>
        </w:rPr>
        <w:t>include</w:t>
      </w:r>
      <w:r>
        <w:rPr>
          <w:lang w:eastAsia="zh-CN"/>
        </w:rPr>
        <w:t xml:space="preserve"> wearable devices</w:t>
      </w:r>
      <w:r w:rsidR="006047BE">
        <w:rPr>
          <w:lang w:eastAsia="zh-CN"/>
        </w:rPr>
        <w:t xml:space="preserve"> and Industrial Wireless Sensor Network (IWSN) sensors</w:t>
      </w:r>
      <w:r>
        <w:rPr>
          <w:lang w:eastAsia="zh-CN"/>
        </w:rPr>
        <w:t xml:space="preserve">. Given that wearables </w:t>
      </w:r>
      <w:r w:rsidR="006047BE">
        <w:rPr>
          <w:lang w:eastAsia="zh-CN"/>
        </w:rPr>
        <w:t xml:space="preserve">and IWSN sensors may </w:t>
      </w:r>
      <w:r>
        <w:rPr>
          <w:lang w:eastAsia="zh-CN"/>
        </w:rPr>
        <w:t xml:space="preserve">have severe form factor </w:t>
      </w:r>
      <w:r w:rsidR="006047BE">
        <w:rPr>
          <w:lang w:eastAsia="zh-CN"/>
        </w:rPr>
        <w:t xml:space="preserve">or battery lifetime </w:t>
      </w:r>
      <w:r>
        <w:rPr>
          <w:lang w:eastAsia="zh-CN"/>
        </w:rPr>
        <w:t xml:space="preserve">restrictions, they are usually battery-constrained. In order to enable the wearable </w:t>
      </w:r>
      <w:r w:rsidR="006047BE">
        <w:rPr>
          <w:lang w:eastAsia="zh-CN"/>
        </w:rPr>
        <w:t xml:space="preserve">and ISWN </w:t>
      </w:r>
      <w:r>
        <w:rPr>
          <w:lang w:eastAsia="zh-CN"/>
        </w:rPr>
        <w:t>use case</w:t>
      </w:r>
      <w:r w:rsidR="006047BE">
        <w:rPr>
          <w:lang w:eastAsia="zh-CN"/>
        </w:rPr>
        <w:t>s</w:t>
      </w:r>
      <w:r>
        <w:rPr>
          <w:lang w:eastAsia="zh-CN"/>
        </w:rPr>
        <w:t>, 3GPP needs to address both reduced device capability and battery lifetime enhancement. Hence, in addition to considering reduced capability NR devices, the SID also considers battery lifetime enhancement for NR devices.</w:t>
      </w:r>
    </w:p>
    <w:p w14:paraId="553FF04B" w14:textId="0B727937" w:rsidR="00EB7942" w:rsidRDefault="00EB7942" w:rsidP="000A7089">
      <w:pPr>
        <w:autoSpaceDE/>
        <w:autoSpaceDN/>
        <w:adjustRightInd/>
        <w:snapToGrid/>
        <w:spacing w:after="240"/>
        <w:rPr>
          <w:lang w:eastAsia="zh-CN"/>
        </w:rPr>
      </w:pPr>
      <w:r>
        <w:rPr>
          <w:lang w:eastAsia="zh-CN"/>
        </w:rPr>
        <w:t xml:space="preserve">There are a range of schemes that reduce PDCCH monitoring, from simple reduction of blind decoding candidates in a slot through to DRX-based schemes, where in DRX-based schemes, the UE only monitors PDCCH when the </w:t>
      </w:r>
      <w:proofErr w:type="spellStart"/>
      <w:r w:rsidRPr="00686E54">
        <w:rPr>
          <w:i/>
          <w:lang w:eastAsia="zh-CN"/>
        </w:rPr>
        <w:t>OnDurationTimer</w:t>
      </w:r>
      <w:proofErr w:type="spellEnd"/>
      <w:r>
        <w:rPr>
          <w:lang w:eastAsia="zh-CN"/>
        </w:rPr>
        <w:t xml:space="preserve"> is running.</w:t>
      </w:r>
    </w:p>
    <w:p w14:paraId="1BA54E8F" w14:textId="00C80F10" w:rsidR="00AF5853" w:rsidRDefault="00AF5853" w:rsidP="000A7089">
      <w:pPr>
        <w:autoSpaceDE/>
        <w:autoSpaceDN/>
        <w:adjustRightInd/>
        <w:snapToGrid/>
        <w:spacing w:after="240"/>
        <w:rPr>
          <w:lang w:eastAsia="zh-CN"/>
        </w:rPr>
      </w:pPr>
      <w:r>
        <w:rPr>
          <w:lang w:eastAsia="zh-CN"/>
        </w:rPr>
        <w:t xml:space="preserve">This </w:t>
      </w:r>
      <w:proofErr w:type="spellStart"/>
      <w:r>
        <w:rPr>
          <w:lang w:eastAsia="zh-CN"/>
        </w:rPr>
        <w:t>Tdoc</w:t>
      </w:r>
      <w:proofErr w:type="spellEnd"/>
      <w:r>
        <w:rPr>
          <w:lang w:eastAsia="zh-CN"/>
        </w:rPr>
        <w:t xml:space="preserve"> considers battery lifetime enhancement for reduced capability NR devices, considering schemes that lead to a reduction in PDCCH monitoring.</w:t>
      </w:r>
    </w:p>
    <w:p w14:paraId="2637E067" w14:textId="6086E7C7" w:rsidR="0049619F" w:rsidRDefault="0049619F" w:rsidP="0065314B">
      <w:pPr>
        <w:pStyle w:val="NormalWeb"/>
        <w:spacing w:before="0" w:beforeAutospacing="0" w:after="0" w:afterAutospacing="0"/>
        <w:rPr>
          <w:color w:val="000000" w:themeColor="text1"/>
        </w:rPr>
      </w:pPr>
    </w:p>
    <w:p w14:paraId="290493DD" w14:textId="04D80950" w:rsidR="0046079B" w:rsidRDefault="0066355E" w:rsidP="0046079B">
      <w:pPr>
        <w:pStyle w:val="Heading1"/>
        <w:rPr>
          <w:lang w:eastAsia="zh-CN"/>
        </w:rPr>
      </w:pPr>
      <w:r>
        <w:rPr>
          <w:lang w:eastAsia="zh-CN"/>
        </w:rPr>
        <w:t>Techniques to reduce PDCCH monitoring</w:t>
      </w:r>
    </w:p>
    <w:p w14:paraId="3BF4EB8E" w14:textId="5611E548" w:rsidR="008759B2" w:rsidRDefault="007E4650" w:rsidP="007E4650">
      <w:pPr>
        <w:pStyle w:val="Heading2"/>
        <w:rPr>
          <w:lang w:val="en-GB" w:eastAsia="ja-JP"/>
        </w:rPr>
      </w:pPr>
      <w:r>
        <w:rPr>
          <w:lang w:val="en-GB" w:eastAsia="ja-JP"/>
        </w:rPr>
        <w:t>PDCCH sear</w:t>
      </w:r>
      <w:r w:rsidR="00E140F7">
        <w:rPr>
          <w:lang w:val="en-GB" w:eastAsia="ja-JP"/>
        </w:rPr>
        <w:t>ch space reduction</w:t>
      </w:r>
    </w:p>
    <w:p w14:paraId="488DB64A" w14:textId="02928B21" w:rsidR="00EC1B41" w:rsidRDefault="00FB763D" w:rsidP="00BE0768">
      <w:pPr>
        <w:pStyle w:val="ListParagraph"/>
        <w:spacing w:after="120"/>
        <w:ind w:left="0"/>
        <w:rPr>
          <w:rFonts w:ascii="Times New Roman" w:eastAsia="MS Mincho" w:hAnsi="Times New Roman" w:cs="Times New Roman"/>
          <w:color w:val="000000" w:themeColor="text1"/>
          <w:sz w:val="22"/>
          <w:szCs w:val="22"/>
          <w:lang w:val="en-GB" w:eastAsia="ja-JP"/>
        </w:rPr>
      </w:pPr>
      <w:r>
        <w:rPr>
          <w:rFonts w:ascii="Times New Roman" w:eastAsia="MS Mincho" w:hAnsi="Times New Roman" w:cs="Times New Roman"/>
          <w:color w:val="000000" w:themeColor="text1"/>
          <w:sz w:val="22"/>
          <w:szCs w:val="22"/>
          <w:lang w:val="en-GB" w:eastAsia="ja-JP"/>
        </w:rPr>
        <w:t xml:space="preserve">In PDCCH search space reduction </w:t>
      </w:r>
      <w:r>
        <w:rPr>
          <w:rFonts w:ascii="Times New Roman" w:eastAsia="MS Mincho" w:hAnsi="Times New Roman" w:cs="Times New Roman"/>
          <w:color w:val="000000" w:themeColor="text1"/>
          <w:sz w:val="22"/>
          <w:szCs w:val="22"/>
          <w:lang w:val="en-GB" w:eastAsia="ja-JP"/>
        </w:rPr>
        <w:fldChar w:fldCharType="begin"/>
      </w:r>
      <w:r>
        <w:rPr>
          <w:rFonts w:ascii="Times New Roman" w:eastAsia="MS Mincho" w:hAnsi="Times New Roman" w:cs="Times New Roman"/>
          <w:color w:val="000000" w:themeColor="text1"/>
          <w:sz w:val="22"/>
          <w:szCs w:val="22"/>
          <w:lang w:val="en-GB" w:eastAsia="ja-JP"/>
        </w:rPr>
        <w:instrText xml:space="preserve"> REF _Ref40300443 \r \h </w:instrText>
      </w:r>
      <w:r>
        <w:rPr>
          <w:rFonts w:ascii="Times New Roman" w:eastAsia="MS Mincho" w:hAnsi="Times New Roman" w:cs="Times New Roman"/>
          <w:color w:val="000000" w:themeColor="text1"/>
          <w:sz w:val="22"/>
          <w:szCs w:val="22"/>
          <w:lang w:val="en-GB" w:eastAsia="ja-JP"/>
        </w:rPr>
      </w:r>
      <w:r>
        <w:rPr>
          <w:rFonts w:ascii="Times New Roman" w:eastAsia="MS Mincho" w:hAnsi="Times New Roman" w:cs="Times New Roman"/>
          <w:color w:val="000000" w:themeColor="text1"/>
          <w:sz w:val="22"/>
          <w:szCs w:val="22"/>
          <w:lang w:val="en-GB" w:eastAsia="ja-JP"/>
        </w:rPr>
        <w:fldChar w:fldCharType="separate"/>
      </w:r>
      <w:r>
        <w:rPr>
          <w:rFonts w:ascii="Times New Roman" w:eastAsia="MS Mincho" w:hAnsi="Times New Roman" w:cs="Times New Roman"/>
          <w:color w:val="000000" w:themeColor="text1"/>
          <w:sz w:val="22"/>
          <w:szCs w:val="22"/>
          <w:lang w:val="en-GB" w:eastAsia="ja-JP"/>
        </w:rPr>
        <w:t>[3]</w:t>
      </w:r>
      <w:r>
        <w:rPr>
          <w:rFonts w:ascii="Times New Roman" w:eastAsia="MS Mincho" w:hAnsi="Times New Roman" w:cs="Times New Roman"/>
          <w:color w:val="000000" w:themeColor="text1"/>
          <w:sz w:val="22"/>
          <w:szCs w:val="22"/>
          <w:lang w:val="en-GB" w:eastAsia="ja-JP"/>
        </w:rPr>
        <w:fldChar w:fldCharType="end"/>
      </w:r>
      <w:r>
        <w:rPr>
          <w:rFonts w:ascii="Times New Roman" w:eastAsia="MS Mincho" w:hAnsi="Times New Roman" w:cs="Times New Roman"/>
          <w:color w:val="000000" w:themeColor="text1"/>
          <w:sz w:val="22"/>
          <w:szCs w:val="22"/>
          <w:lang w:val="en-GB" w:eastAsia="ja-JP"/>
        </w:rPr>
        <w:t>, the number of blind decoding candidates is reduced</w:t>
      </w:r>
      <w:r w:rsidR="00A2511A">
        <w:rPr>
          <w:rFonts w:ascii="Times New Roman" w:eastAsia="MS Mincho" w:hAnsi="Times New Roman" w:cs="Times New Roman"/>
          <w:color w:val="000000" w:themeColor="text1"/>
          <w:sz w:val="22"/>
          <w:szCs w:val="22"/>
          <w:lang w:val="en-GB" w:eastAsia="ja-JP"/>
        </w:rPr>
        <w:t>.</w:t>
      </w:r>
      <w:r>
        <w:rPr>
          <w:rFonts w:ascii="Times New Roman" w:eastAsia="MS Mincho" w:hAnsi="Times New Roman" w:cs="Times New Roman"/>
          <w:color w:val="000000" w:themeColor="text1"/>
          <w:sz w:val="22"/>
          <w:szCs w:val="22"/>
          <w:lang w:val="en-GB" w:eastAsia="ja-JP"/>
        </w:rPr>
        <w:t xml:space="preserve"> Reduction of the number of candidates was shown to provide a power saving gain in the region of 10-20% when</w:t>
      </w:r>
      <w:r w:rsidR="00EC1B41">
        <w:rPr>
          <w:rFonts w:ascii="Times New Roman" w:eastAsia="MS Mincho" w:hAnsi="Times New Roman" w:cs="Times New Roman"/>
          <w:color w:val="000000" w:themeColor="text1"/>
          <w:sz w:val="22"/>
          <w:szCs w:val="22"/>
          <w:lang w:val="en-GB" w:eastAsia="ja-JP"/>
        </w:rPr>
        <w:t xml:space="preserve"> the number of candidates is reduced from 32 to 16, or in the extreme from 32 to 2. If the maximum number of candidates is part of a reduced capability, the reduction in PDCCH blind decoding will directly reduce complexity in addition to saving power.</w:t>
      </w:r>
    </w:p>
    <w:p w14:paraId="4AF026C9" w14:textId="45E6491E" w:rsidR="00EC1B41" w:rsidRDefault="00AC2F53" w:rsidP="00BE0768">
      <w:pPr>
        <w:pStyle w:val="ListParagraph"/>
        <w:spacing w:after="120"/>
        <w:ind w:left="0"/>
        <w:rPr>
          <w:rFonts w:ascii="Times New Roman" w:eastAsia="MS Mincho" w:hAnsi="Times New Roman" w:cs="Times New Roman"/>
          <w:color w:val="000000" w:themeColor="text1"/>
          <w:sz w:val="22"/>
          <w:szCs w:val="22"/>
          <w:lang w:val="en-GB" w:eastAsia="ja-JP"/>
        </w:rPr>
      </w:pPr>
      <w:r>
        <w:rPr>
          <w:rFonts w:ascii="Times New Roman" w:eastAsia="MS Mincho" w:hAnsi="Times New Roman" w:cs="Times New Roman"/>
          <w:color w:val="000000" w:themeColor="text1"/>
          <w:sz w:val="22"/>
          <w:szCs w:val="22"/>
          <w:lang w:val="en-GB" w:eastAsia="ja-JP"/>
        </w:rPr>
        <w:t xml:space="preserve">PDCCH search space reduction potentially has some negative system aspects. In </w:t>
      </w:r>
      <w:r>
        <w:rPr>
          <w:rFonts w:ascii="Times New Roman" w:eastAsia="MS Mincho" w:hAnsi="Times New Roman" w:cs="Times New Roman"/>
          <w:color w:val="000000" w:themeColor="text1"/>
          <w:sz w:val="22"/>
          <w:szCs w:val="22"/>
          <w:lang w:val="en-GB" w:eastAsia="ja-JP"/>
        </w:rPr>
        <w:fldChar w:fldCharType="begin"/>
      </w:r>
      <w:r>
        <w:rPr>
          <w:rFonts w:ascii="Times New Roman" w:eastAsia="MS Mincho" w:hAnsi="Times New Roman" w:cs="Times New Roman"/>
          <w:color w:val="000000" w:themeColor="text1"/>
          <w:sz w:val="22"/>
          <w:szCs w:val="22"/>
          <w:lang w:val="en-GB" w:eastAsia="ja-JP"/>
        </w:rPr>
        <w:instrText xml:space="preserve"> REF _Ref40300443 \r \h </w:instrText>
      </w:r>
      <w:r>
        <w:rPr>
          <w:rFonts w:ascii="Times New Roman" w:eastAsia="MS Mincho" w:hAnsi="Times New Roman" w:cs="Times New Roman"/>
          <w:color w:val="000000" w:themeColor="text1"/>
          <w:sz w:val="22"/>
          <w:szCs w:val="22"/>
          <w:lang w:val="en-GB" w:eastAsia="ja-JP"/>
        </w:rPr>
      </w:r>
      <w:r>
        <w:rPr>
          <w:rFonts w:ascii="Times New Roman" w:eastAsia="MS Mincho" w:hAnsi="Times New Roman" w:cs="Times New Roman"/>
          <w:color w:val="000000" w:themeColor="text1"/>
          <w:sz w:val="22"/>
          <w:szCs w:val="22"/>
          <w:lang w:val="en-GB" w:eastAsia="ja-JP"/>
        </w:rPr>
        <w:fldChar w:fldCharType="separate"/>
      </w:r>
      <w:r>
        <w:rPr>
          <w:rFonts w:ascii="Times New Roman" w:eastAsia="MS Mincho" w:hAnsi="Times New Roman" w:cs="Times New Roman"/>
          <w:color w:val="000000" w:themeColor="text1"/>
          <w:sz w:val="22"/>
          <w:szCs w:val="22"/>
          <w:lang w:val="en-GB" w:eastAsia="ja-JP"/>
        </w:rPr>
        <w:t>[3]</w:t>
      </w:r>
      <w:r>
        <w:rPr>
          <w:rFonts w:ascii="Times New Roman" w:eastAsia="MS Mincho" w:hAnsi="Times New Roman" w:cs="Times New Roman"/>
          <w:color w:val="000000" w:themeColor="text1"/>
          <w:sz w:val="22"/>
          <w:szCs w:val="22"/>
          <w:lang w:val="en-GB" w:eastAsia="ja-JP"/>
        </w:rPr>
        <w:fldChar w:fldCharType="end"/>
      </w:r>
      <w:r>
        <w:rPr>
          <w:rFonts w:ascii="Times New Roman" w:eastAsia="MS Mincho" w:hAnsi="Times New Roman" w:cs="Times New Roman"/>
          <w:color w:val="000000" w:themeColor="text1"/>
          <w:sz w:val="22"/>
          <w:szCs w:val="22"/>
          <w:lang w:val="en-GB" w:eastAsia="ja-JP"/>
        </w:rPr>
        <w:t>, the following negative system impacts were observed:</w:t>
      </w:r>
    </w:p>
    <w:p w14:paraId="2E8FD532" w14:textId="0C2FF9CB" w:rsidR="00AC2F53" w:rsidRDefault="00AC2F53" w:rsidP="00AC2F53">
      <w:pPr>
        <w:pStyle w:val="ListParagraph"/>
        <w:numPr>
          <w:ilvl w:val="0"/>
          <w:numId w:val="37"/>
        </w:numPr>
        <w:spacing w:after="120"/>
        <w:rPr>
          <w:rFonts w:ascii="Times New Roman" w:eastAsia="MS Mincho" w:hAnsi="Times New Roman" w:cs="Times New Roman"/>
          <w:color w:val="000000" w:themeColor="text1"/>
          <w:sz w:val="22"/>
          <w:szCs w:val="22"/>
          <w:lang w:val="en-GB" w:eastAsia="ja-JP"/>
        </w:rPr>
      </w:pPr>
      <w:r>
        <w:rPr>
          <w:rFonts w:ascii="Times New Roman" w:eastAsia="MS Mincho" w:hAnsi="Times New Roman" w:cs="Times New Roman"/>
          <w:color w:val="000000" w:themeColor="text1"/>
          <w:sz w:val="22"/>
          <w:szCs w:val="22"/>
          <w:lang w:val="en-GB" w:eastAsia="ja-JP"/>
        </w:rPr>
        <w:t xml:space="preserve">The proportion of lower aggregation level candidates will be reduced. In order to maintain coverage, the </w:t>
      </w:r>
      <w:proofErr w:type="spellStart"/>
      <w:r>
        <w:rPr>
          <w:rFonts w:ascii="Times New Roman" w:eastAsia="MS Mincho" w:hAnsi="Times New Roman" w:cs="Times New Roman"/>
          <w:color w:val="000000" w:themeColor="text1"/>
          <w:sz w:val="22"/>
          <w:szCs w:val="22"/>
          <w:lang w:val="en-GB" w:eastAsia="ja-JP"/>
        </w:rPr>
        <w:t>gNB</w:t>
      </w:r>
      <w:proofErr w:type="spellEnd"/>
      <w:r>
        <w:rPr>
          <w:rFonts w:ascii="Times New Roman" w:eastAsia="MS Mincho" w:hAnsi="Times New Roman" w:cs="Times New Roman"/>
          <w:color w:val="000000" w:themeColor="text1"/>
          <w:sz w:val="22"/>
          <w:szCs w:val="22"/>
          <w:lang w:val="en-GB" w:eastAsia="ja-JP"/>
        </w:rPr>
        <w:t xml:space="preserve"> will have to maintain candidates with the higher aggregation level and instead “prune” lower aggregation level candidates. Use of higher aggregation levels is less efficient.</w:t>
      </w:r>
    </w:p>
    <w:p w14:paraId="4B427167" w14:textId="4B686AB1" w:rsidR="00AC2F53" w:rsidRDefault="00AC2F53" w:rsidP="00AC2F53">
      <w:pPr>
        <w:pStyle w:val="ListParagraph"/>
        <w:numPr>
          <w:ilvl w:val="0"/>
          <w:numId w:val="37"/>
        </w:numPr>
        <w:spacing w:after="120"/>
        <w:rPr>
          <w:rFonts w:ascii="Times New Roman" w:eastAsia="MS Mincho" w:hAnsi="Times New Roman" w:cs="Times New Roman"/>
          <w:color w:val="000000" w:themeColor="text1"/>
          <w:sz w:val="22"/>
          <w:szCs w:val="22"/>
          <w:lang w:val="en-GB" w:eastAsia="ja-JP"/>
        </w:rPr>
      </w:pPr>
      <w:r>
        <w:rPr>
          <w:rFonts w:ascii="Times New Roman" w:eastAsia="MS Mincho" w:hAnsi="Times New Roman" w:cs="Times New Roman"/>
          <w:color w:val="000000" w:themeColor="text1"/>
          <w:sz w:val="22"/>
          <w:szCs w:val="22"/>
          <w:lang w:val="en-GB" w:eastAsia="ja-JP"/>
        </w:rPr>
        <w:t xml:space="preserve">The multiplexing capability of the </w:t>
      </w:r>
      <w:proofErr w:type="spellStart"/>
      <w:r>
        <w:rPr>
          <w:rFonts w:ascii="Times New Roman" w:eastAsia="MS Mincho" w:hAnsi="Times New Roman" w:cs="Times New Roman"/>
          <w:color w:val="000000" w:themeColor="text1"/>
          <w:sz w:val="22"/>
          <w:szCs w:val="22"/>
          <w:lang w:val="en-GB" w:eastAsia="ja-JP"/>
        </w:rPr>
        <w:t>gNodeB</w:t>
      </w:r>
      <w:proofErr w:type="spellEnd"/>
      <w:r>
        <w:rPr>
          <w:rFonts w:ascii="Times New Roman" w:eastAsia="MS Mincho" w:hAnsi="Times New Roman" w:cs="Times New Roman"/>
          <w:color w:val="000000" w:themeColor="text1"/>
          <w:sz w:val="22"/>
          <w:szCs w:val="22"/>
          <w:lang w:val="en-GB" w:eastAsia="ja-JP"/>
        </w:rPr>
        <w:t xml:space="preserve"> will be reduced when there are fewer available possibilities for assigning a PDCCH to a candidate in the search space. Limitations on the multiplexing capability increase the blocking probability.</w:t>
      </w:r>
    </w:p>
    <w:p w14:paraId="7FD1DB78" w14:textId="182D6763" w:rsidR="00AC2F53" w:rsidRDefault="00AC2F53" w:rsidP="00AC2F53">
      <w:pPr>
        <w:rPr>
          <w:rFonts w:eastAsia="MS Mincho"/>
          <w:color w:val="000000" w:themeColor="text1"/>
          <w:lang w:val="en-GB" w:eastAsia="ja-JP"/>
        </w:rPr>
      </w:pPr>
    </w:p>
    <w:p w14:paraId="20E3FB1D" w14:textId="4F4E943F" w:rsidR="00AC2F53" w:rsidRPr="00DF434D" w:rsidRDefault="00AC2F53" w:rsidP="00AC2F53">
      <w:pPr>
        <w:rPr>
          <w:rFonts w:eastAsia="MS Mincho"/>
          <w:b/>
          <w:color w:val="000000" w:themeColor="text1"/>
          <w:lang w:val="en-GB" w:eastAsia="ja-JP"/>
        </w:rPr>
      </w:pPr>
      <w:r w:rsidRPr="00DF434D">
        <w:rPr>
          <w:rFonts w:eastAsia="MS Mincho"/>
          <w:b/>
          <w:color w:val="000000" w:themeColor="text1"/>
          <w:lang w:val="en-GB" w:eastAsia="ja-JP"/>
        </w:rPr>
        <w:t>Proposal</w:t>
      </w:r>
      <w:r w:rsidR="00DF434D" w:rsidRPr="00DF434D">
        <w:rPr>
          <w:rFonts w:eastAsia="MS Mincho"/>
          <w:b/>
          <w:color w:val="000000" w:themeColor="text1"/>
          <w:lang w:val="en-GB" w:eastAsia="ja-JP"/>
        </w:rPr>
        <w:t xml:space="preserve"> </w:t>
      </w:r>
      <w:r w:rsidR="00EB7942">
        <w:rPr>
          <w:rFonts w:eastAsia="MS Mincho"/>
          <w:b/>
          <w:color w:val="000000" w:themeColor="text1"/>
          <w:lang w:val="en-GB" w:eastAsia="ja-JP"/>
        </w:rPr>
        <w:t>1</w:t>
      </w:r>
      <w:r w:rsidRPr="00DF434D">
        <w:rPr>
          <w:rFonts w:eastAsia="MS Mincho"/>
          <w:b/>
          <w:color w:val="000000" w:themeColor="text1"/>
          <w:lang w:val="en-GB" w:eastAsia="ja-JP"/>
        </w:rPr>
        <w:t xml:space="preserve">: The study considers the impact that PDCCH search space reduction has on </w:t>
      </w:r>
      <w:r w:rsidR="00DF434D" w:rsidRPr="00DF434D">
        <w:rPr>
          <w:rFonts w:eastAsia="MS Mincho"/>
          <w:b/>
          <w:color w:val="000000" w:themeColor="text1"/>
          <w:lang w:val="en-GB" w:eastAsia="ja-JP"/>
        </w:rPr>
        <w:t>PDCCH efficiency and blocking probability.</w:t>
      </w:r>
    </w:p>
    <w:p w14:paraId="43EFCB94" w14:textId="77777777" w:rsidR="00AC2F53" w:rsidRPr="00AC2F53" w:rsidRDefault="00AC2F53" w:rsidP="00AC2F53">
      <w:pPr>
        <w:rPr>
          <w:rFonts w:eastAsia="MS Mincho"/>
          <w:color w:val="000000" w:themeColor="text1"/>
          <w:lang w:val="en-GB" w:eastAsia="ja-JP"/>
        </w:rPr>
      </w:pPr>
    </w:p>
    <w:p w14:paraId="6630114C" w14:textId="6D1E7384" w:rsidR="00E140F7" w:rsidRDefault="00E140F7" w:rsidP="00E140F7">
      <w:pPr>
        <w:pStyle w:val="Heading2"/>
        <w:rPr>
          <w:lang w:val="en-GB" w:eastAsia="ja-JP"/>
        </w:rPr>
      </w:pPr>
      <w:r>
        <w:rPr>
          <w:lang w:val="en-GB" w:eastAsia="ja-JP"/>
        </w:rPr>
        <w:t>PDCCH skipping</w:t>
      </w:r>
    </w:p>
    <w:p w14:paraId="444276BB" w14:textId="7D8AE886" w:rsidR="00E140F7" w:rsidRDefault="002257EE" w:rsidP="00E140F7">
      <w:pPr>
        <w:rPr>
          <w:lang w:val="en-GB" w:eastAsia="ja-JP"/>
        </w:rPr>
      </w:pPr>
      <w:r>
        <w:rPr>
          <w:lang w:val="en-GB" w:eastAsia="ja-JP"/>
        </w:rPr>
        <w:t xml:space="preserve">There are various proposals for PDCCH skipping, but PDCCH skipping generally entails not monitoring PDCCH for a time period either by DCI signalling or via a time-out </w:t>
      </w:r>
      <w:r>
        <w:rPr>
          <w:lang w:val="en-GB" w:eastAsia="ja-JP"/>
        </w:rPr>
        <w:fldChar w:fldCharType="begin"/>
      </w:r>
      <w:r>
        <w:rPr>
          <w:lang w:val="en-GB" w:eastAsia="ja-JP"/>
        </w:rPr>
        <w:instrText xml:space="preserve"> REF _Ref40302895 \r \h </w:instrText>
      </w:r>
      <w:r>
        <w:rPr>
          <w:lang w:val="en-GB" w:eastAsia="ja-JP"/>
        </w:rPr>
      </w:r>
      <w:r>
        <w:rPr>
          <w:lang w:val="en-GB" w:eastAsia="ja-JP"/>
        </w:rPr>
        <w:fldChar w:fldCharType="separate"/>
      </w:r>
      <w:r>
        <w:rPr>
          <w:lang w:val="en-GB" w:eastAsia="ja-JP"/>
        </w:rPr>
        <w:t>[5]</w:t>
      </w:r>
      <w:r>
        <w:rPr>
          <w:lang w:val="en-GB" w:eastAsia="ja-JP"/>
        </w:rPr>
        <w:fldChar w:fldCharType="end"/>
      </w:r>
      <w:r>
        <w:rPr>
          <w:lang w:val="en-GB" w:eastAsia="ja-JP"/>
        </w:rPr>
        <w:t xml:space="preserve">. Hence the times at which PDCCH </w:t>
      </w:r>
      <w:r w:rsidR="006047BE">
        <w:rPr>
          <w:lang w:val="en-GB" w:eastAsia="ja-JP"/>
        </w:rPr>
        <w:t>is</w:t>
      </w:r>
      <w:r>
        <w:rPr>
          <w:lang w:val="en-GB" w:eastAsia="ja-JP"/>
        </w:rPr>
        <w:t xml:space="preserve"> not monitored are varied dynamically (as opposed to defining some semi-static PDCCH monitoring periodicity that does not dynamically adapt to traffic). </w:t>
      </w:r>
      <w:r w:rsidR="00135A82">
        <w:rPr>
          <w:lang w:val="en-GB" w:eastAsia="ja-JP"/>
        </w:rPr>
        <w:t xml:space="preserve">The power saving of PDCCH skipping depends on the </w:t>
      </w:r>
      <w:proofErr w:type="gramStart"/>
      <w:r w:rsidR="00135A82">
        <w:rPr>
          <w:lang w:val="en-GB" w:eastAsia="ja-JP"/>
        </w:rPr>
        <w:t>particular scheme</w:t>
      </w:r>
      <w:proofErr w:type="gramEnd"/>
      <w:r w:rsidR="00135A82">
        <w:rPr>
          <w:lang w:val="en-GB" w:eastAsia="ja-JP"/>
        </w:rPr>
        <w:t xml:space="preserve"> being proposed and the evaluation assumptions / traffic model that are used to analyse the scheme (</w:t>
      </w:r>
      <w:r w:rsidR="00135A82">
        <w:rPr>
          <w:lang w:val="en-GB" w:eastAsia="ja-JP"/>
        </w:rPr>
        <w:fldChar w:fldCharType="begin"/>
      </w:r>
      <w:r w:rsidR="00135A82">
        <w:rPr>
          <w:lang w:val="en-GB" w:eastAsia="ja-JP"/>
        </w:rPr>
        <w:instrText xml:space="preserve"> REF _Ref40296021 \r \h </w:instrText>
      </w:r>
      <w:r w:rsidR="00135A82">
        <w:rPr>
          <w:lang w:val="en-GB" w:eastAsia="ja-JP"/>
        </w:rPr>
      </w:r>
      <w:r w:rsidR="00135A82">
        <w:rPr>
          <w:lang w:val="en-GB" w:eastAsia="ja-JP"/>
        </w:rPr>
        <w:fldChar w:fldCharType="separate"/>
      </w:r>
      <w:r w:rsidR="00135A82">
        <w:rPr>
          <w:lang w:val="en-GB" w:eastAsia="ja-JP"/>
        </w:rPr>
        <w:t>[2]</w:t>
      </w:r>
      <w:r w:rsidR="00135A82">
        <w:rPr>
          <w:lang w:val="en-GB" w:eastAsia="ja-JP"/>
        </w:rPr>
        <w:fldChar w:fldCharType="end"/>
      </w:r>
      <w:r w:rsidR="00135A82">
        <w:rPr>
          <w:lang w:val="en-GB" w:eastAsia="ja-JP"/>
        </w:rPr>
        <w:t xml:space="preserve"> indicates power saving gains in the range of 9%-83%). </w:t>
      </w:r>
      <w:r w:rsidR="00135A82">
        <w:rPr>
          <w:lang w:val="en-GB" w:eastAsia="ja-JP"/>
        </w:rPr>
        <w:fldChar w:fldCharType="begin"/>
      </w:r>
      <w:r w:rsidR="00135A82">
        <w:rPr>
          <w:lang w:val="en-GB" w:eastAsia="ja-JP"/>
        </w:rPr>
        <w:instrText xml:space="preserve"> REF _Ref40302895 \r \h </w:instrText>
      </w:r>
      <w:r w:rsidR="00135A82">
        <w:rPr>
          <w:lang w:val="en-GB" w:eastAsia="ja-JP"/>
        </w:rPr>
      </w:r>
      <w:r w:rsidR="00135A82">
        <w:rPr>
          <w:lang w:val="en-GB" w:eastAsia="ja-JP"/>
        </w:rPr>
        <w:fldChar w:fldCharType="separate"/>
      </w:r>
      <w:r w:rsidR="00135A82">
        <w:rPr>
          <w:lang w:val="en-GB" w:eastAsia="ja-JP"/>
        </w:rPr>
        <w:t>[5]</w:t>
      </w:r>
      <w:r w:rsidR="00135A82">
        <w:rPr>
          <w:lang w:val="en-GB" w:eastAsia="ja-JP"/>
        </w:rPr>
        <w:fldChar w:fldCharType="end"/>
      </w:r>
      <w:r w:rsidR="00135A82">
        <w:rPr>
          <w:lang w:val="en-GB" w:eastAsia="ja-JP"/>
        </w:rPr>
        <w:t xml:space="preserve"> reports a power saving gain of 20-30% for DCI-based and time-out-based PDCCH skipping schemes and we think that this a reasonably realistic power saving gain for a realistically configured PDCCH-skipping scheme. </w:t>
      </w:r>
    </w:p>
    <w:p w14:paraId="0150A303" w14:textId="77777777" w:rsidR="00AF5853" w:rsidRDefault="00AF5853" w:rsidP="00E140F7">
      <w:pPr>
        <w:rPr>
          <w:lang w:val="en-GB" w:eastAsia="ja-JP"/>
        </w:rPr>
      </w:pPr>
    </w:p>
    <w:p w14:paraId="0BE5B00C" w14:textId="149A0A62" w:rsidR="00AF5853" w:rsidRPr="00DF434D" w:rsidRDefault="00AF5853" w:rsidP="00AF5853">
      <w:pPr>
        <w:rPr>
          <w:rFonts w:eastAsia="MS Mincho"/>
          <w:b/>
          <w:color w:val="000000" w:themeColor="text1"/>
          <w:lang w:val="en-GB" w:eastAsia="ja-JP"/>
        </w:rPr>
      </w:pPr>
      <w:r w:rsidRPr="00DF434D">
        <w:rPr>
          <w:rFonts w:eastAsia="MS Mincho"/>
          <w:b/>
          <w:color w:val="000000" w:themeColor="text1"/>
          <w:lang w:val="en-GB" w:eastAsia="ja-JP"/>
        </w:rPr>
        <w:lastRenderedPageBreak/>
        <w:t xml:space="preserve">Proposal </w:t>
      </w:r>
      <w:r w:rsidR="00EB7942">
        <w:rPr>
          <w:rFonts w:eastAsia="MS Mincho"/>
          <w:b/>
          <w:color w:val="000000" w:themeColor="text1"/>
          <w:lang w:val="en-GB" w:eastAsia="ja-JP"/>
        </w:rPr>
        <w:t>2</w:t>
      </w:r>
      <w:r w:rsidRPr="00DF434D">
        <w:rPr>
          <w:rFonts w:eastAsia="MS Mincho"/>
          <w:b/>
          <w:color w:val="000000" w:themeColor="text1"/>
          <w:lang w:val="en-GB" w:eastAsia="ja-JP"/>
        </w:rPr>
        <w:t xml:space="preserve">: </w:t>
      </w:r>
      <w:r>
        <w:rPr>
          <w:rFonts w:eastAsia="MS Mincho"/>
          <w:b/>
          <w:color w:val="000000" w:themeColor="text1"/>
          <w:lang w:val="en-GB" w:eastAsia="ja-JP"/>
        </w:rPr>
        <w:t>The study considers PDCCH skipping as a technique for reducing PDCCH blind decoding</w:t>
      </w:r>
      <w:r w:rsidRPr="00DF434D">
        <w:rPr>
          <w:rFonts w:eastAsia="MS Mincho"/>
          <w:b/>
          <w:color w:val="000000" w:themeColor="text1"/>
          <w:lang w:val="en-GB" w:eastAsia="ja-JP"/>
        </w:rPr>
        <w:t>.</w:t>
      </w:r>
    </w:p>
    <w:p w14:paraId="7D90F658" w14:textId="77777777" w:rsidR="00A2511A" w:rsidRPr="008759B2" w:rsidRDefault="00A2511A" w:rsidP="00BE0768">
      <w:pPr>
        <w:pStyle w:val="ListParagraph"/>
        <w:spacing w:after="120"/>
        <w:ind w:left="0"/>
        <w:rPr>
          <w:rFonts w:ascii="Times New Roman" w:eastAsia="MS Mincho" w:hAnsi="Times New Roman" w:cs="Times New Roman"/>
          <w:color w:val="000000" w:themeColor="text1"/>
          <w:sz w:val="22"/>
          <w:szCs w:val="22"/>
          <w:lang w:val="en-GB" w:eastAsia="ja-JP"/>
        </w:rPr>
      </w:pPr>
    </w:p>
    <w:p w14:paraId="1BE97A5C" w14:textId="1CC3553C" w:rsidR="008759B2" w:rsidRDefault="00200DDD" w:rsidP="00200DDD">
      <w:pPr>
        <w:pStyle w:val="Heading2"/>
        <w:rPr>
          <w:lang w:val="en-GB" w:eastAsia="ja-JP"/>
        </w:rPr>
      </w:pPr>
      <w:r>
        <w:rPr>
          <w:lang w:val="en-GB" w:eastAsia="ja-JP"/>
        </w:rPr>
        <w:t>Dynamic DRX configuration</w:t>
      </w:r>
    </w:p>
    <w:p w14:paraId="7E127E39" w14:textId="409D78B8" w:rsidR="00A2511A" w:rsidRPr="00274A07" w:rsidRDefault="00A2511A" w:rsidP="00A2511A">
      <w:r w:rsidRPr="00274A07">
        <w:t>This section considers dynamically changing the DRX configuration by physical layer signaling. For example, the physical layer signaling could dynamically change the rate of PDCCH monitoring</w:t>
      </w:r>
      <w:r w:rsidR="00FB763D">
        <w:t xml:space="preserve"> or DRX configuration</w:t>
      </w:r>
      <w:r w:rsidRPr="00274A07">
        <w:t xml:space="preserve"> etc.   </w:t>
      </w:r>
    </w:p>
    <w:p w14:paraId="469D13E9" w14:textId="737659DF" w:rsidR="001457F1" w:rsidRPr="00274A07" w:rsidRDefault="00AC622E" w:rsidP="001457F1">
      <w:r>
        <w:t>In Rel-16,</w:t>
      </w:r>
      <w:r w:rsidR="001457F1">
        <w:t xml:space="preserve"> DRX parameters are typically configured</w:t>
      </w:r>
      <w:r w:rsidR="00A2511A" w:rsidRPr="00274A07">
        <w:t xml:space="preserve"> </w:t>
      </w:r>
      <w:r w:rsidR="001457F1">
        <w:t xml:space="preserve">by </w:t>
      </w:r>
      <w:r w:rsidR="00A2511A" w:rsidRPr="00274A07">
        <w:t>RRC at connection setup and while they can be reconfigured over time</w:t>
      </w:r>
      <w:r w:rsidR="001457F1">
        <w:t xml:space="preserve">, </w:t>
      </w:r>
      <w:r w:rsidR="00A2511A" w:rsidRPr="00274A07">
        <w:t xml:space="preserve">this RRC configuration / reconfiguration process is rather slow. </w:t>
      </w:r>
      <w:r w:rsidR="006047BE">
        <w:t xml:space="preserve">This reconfiguration can be performed in response to a preferred UE DRX configuration being signaled by the UE to the network as UE assistance information. </w:t>
      </w:r>
      <w:r w:rsidR="00A2511A" w:rsidRPr="00274A07">
        <w:t xml:space="preserve">The slow nature of RRC configuration / </w:t>
      </w:r>
      <w:proofErr w:type="gramStart"/>
      <w:r w:rsidR="00A2511A" w:rsidRPr="00274A07">
        <w:t>reconfiguration  may</w:t>
      </w:r>
      <w:proofErr w:type="gramEnd"/>
      <w:r w:rsidR="00A2511A" w:rsidRPr="00274A07">
        <w:t xml:space="preserve"> make the network reticent to change DRX parameters and </w:t>
      </w:r>
      <w:r w:rsidR="001457F1">
        <w:t>a</w:t>
      </w:r>
      <w:r w:rsidR="00A2511A" w:rsidRPr="00274A07">
        <w:t xml:space="preserve">s a result, the UE </w:t>
      </w:r>
      <w:r w:rsidR="001457F1">
        <w:t>rate of PDCCH monitoring</w:t>
      </w:r>
      <w:r w:rsidR="00A2511A" w:rsidRPr="00274A07">
        <w:t xml:space="preserve"> may not be tailored towards its current traffic pattern and buffer state, resulting in </w:t>
      </w:r>
      <w:r w:rsidR="001457F1">
        <w:t>the UE unnecessarily monitoring a large number of PDCCH that never actually schedule the UE</w:t>
      </w:r>
      <w:r w:rsidR="00A2511A" w:rsidRPr="00274A07">
        <w:t xml:space="preserve">. </w:t>
      </w:r>
    </w:p>
    <w:p w14:paraId="28961E17" w14:textId="168BF0F2" w:rsidR="00A2511A" w:rsidRPr="00274A07" w:rsidRDefault="001457F1" w:rsidP="00A2511A">
      <w:proofErr w:type="gramStart"/>
      <w:r>
        <w:t>Hence</w:t>
      </w:r>
      <w:proofErr w:type="gramEnd"/>
      <w:r>
        <w:t xml:space="preserve"> we propose to</w:t>
      </w:r>
      <w:r w:rsidR="00A2511A" w:rsidRPr="00274A07">
        <w:t xml:space="preserve"> </w:t>
      </w:r>
      <w:r>
        <w:t>study</w:t>
      </w:r>
      <w:r w:rsidR="00A2511A" w:rsidRPr="00274A07">
        <w:t xml:space="preserve"> dynamic DRX configuration</w:t>
      </w:r>
      <w:r>
        <w:t xml:space="preserve"> in the study item, where the objective of the dynamic DRX configuration</w:t>
      </w:r>
      <w:r w:rsidR="00A2511A" w:rsidRPr="00274A07">
        <w:t xml:space="preserve"> is to reduce the UE “idle” PDCCH monitoring, particularly when there is no traffic between the UE and network. </w:t>
      </w:r>
    </w:p>
    <w:p w14:paraId="220D24C9" w14:textId="34B4A98C" w:rsidR="00A2511A" w:rsidRPr="00274A07" w:rsidRDefault="00A2511A" w:rsidP="00A2511A">
      <w:r w:rsidRPr="00274A07">
        <w:t>To facilitate a UE performing dynamic DRX operation, we propose a</w:t>
      </w:r>
      <w:r w:rsidR="004F6CE6">
        <w:t>n</w:t>
      </w:r>
      <w:r w:rsidRPr="00274A07">
        <w:t xml:space="preserve"> </w:t>
      </w:r>
      <w:r w:rsidR="004F6CE6">
        <w:t>L1</w:t>
      </w:r>
      <w:r w:rsidRPr="00274A07">
        <w:t xml:space="preserve"> dynamic signaling mechanism where the configuration of the inactivity timer and DRX cycles in connected mode can be easily and quickly adapted based on the traffic for the UE or network conditions.</w:t>
      </w:r>
      <w:r w:rsidR="001457F1">
        <w:t xml:space="preserve"> Controlling the inactivity timer and configuration of the DRX cycles alters the amount of PDCCH monitoring performed by the UE. The </w:t>
      </w:r>
      <w:r w:rsidR="004F6CE6">
        <w:t>L1</w:t>
      </w:r>
      <w:r w:rsidR="001457F1">
        <w:t xml:space="preserve"> dynamic </w:t>
      </w:r>
      <w:proofErr w:type="spellStart"/>
      <w:r w:rsidR="001457F1">
        <w:t>signalling</w:t>
      </w:r>
      <w:proofErr w:type="spellEnd"/>
      <w:r>
        <w:t xml:space="preserve"> can be used </w:t>
      </w:r>
      <w:r w:rsidR="001457F1">
        <w:t>for</w:t>
      </w:r>
      <w:r>
        <w:t xml:space="preserve"> the activation/selection of an active DRX configuration</w:t>
      </w:r>
      <w:r w:rsidR="001457F1">
        <w:t xml:space="preserve"> that had previously been configured by RRC </w:t>
      </w:r>
      <w:proofErr w:type="spellStart"/>
      <w:r w:rsidR="001457F1">
        <w:t>signalling</w:t>
      </w:r>
      <w:proofErr w:type="spellEnd"/>
      <w:r>
        <w:t>.</w:t>
      </w:r>
      <w:r w:rsidR="006D6AC7">
        <w:t xml:space="preserve"> The </w:t>
      </w:r>
      <w:r w:rsidR="004F6CE6">
        <w:t>L1</w:t>
      </w:r>
      <w:r w:rsidR="006D6AC7">
        <w:t xml:space="preserve"> dynamic signaling could be sent via DCI after the main part of data transmission is terminated, either in DL or UL.</w:t>
      </w:r>
    </w:p>
    <w:p w14:paraId="10B03E1F" w14:textId="77777777" w:rsidR="006D6AC7" w:rsidRDefault="00A2511A" w:rsidP="00A2511A">
      <w:pPr>
        <w:rPr>
          <w:color w:val="000000"/>
        </w:rPr>
      </w:pPr>
      <w:r w:rsidRPr="00274A07">
        <w:rPr>
          <w:color w:val="000000"/>
        </w:rPr>
        <w:fldChar w:fldCharType="begin"/>
      </w:r>
      <w:r w:rsidRPr="00274A07">
        <w:rPr>
          <w:color w:val="000000"/>
        </w:rPr>
        <w:instrText xml:space="preserve"> REF _Ref528921594 \h </w:instrText>
      </w:r>
      <w:r w:rsidRPr="00274A07">
        <w:rPr>
          <w:color w:val="000000"/>
        </w:rPr>
      </w:r>
      <w:r w:rsidRPr="00274A07">
        <w:rPr>
          <w:color w:val="000000"/>
        </w:rPr>
        <w:fldChar w:fldCharType="separate"/>
      </w:r>
      <w:r w:rsidR="006D6AC7" w:rsidRPr="00274A07">
        <w:t xml:space="preserve">Figure </w:t>
      </w:r>
      <w:r w:rsidR="006D6AC7">
        <w:rPr>
          <w:noProof/>
        </w:rPr>
        <w:t>1</w:t>
      </w:r>
      <w:r w:rsidRPr="00274A07">
        <w:rPr>
          <w:color w:val="000000"/>
        </w:rPr>
        <w:fldChar w:fldCharType="end"/>
      </w:r>
      <w:r w:rsidRPr="00274A07">
        <w:rPr>
          <w:color w:val="000000"/>
        </w:rPr>
        <w:t xml:space="preserve"> illustrate</w:t>
      </w:r>
      <w:r w:rsidR="006D6AC7">
        <w:rPr>
          <w:color w:val="000000"/>
        </w:rPr>
        <w:t>s</w:t>
      </w:r>
      <w:r w:rsidRPr="00274A07">
        <w:rPr>
          <w:color w:val="000000"/>
        </w:rPr>
        <w:t xml:space="preserve"> </w:t>
      </w:r>
      <w:r w:rsidR="006D6AC7">
        <w:rPr>
          <w:color w:val="000000"/>
        </w:rPr>
        <w:t>a</w:t>
      </w:r>
      <w:r w:rsidRPr="00274A07">
        <w:rPr>
          <w:color w:val="000000"/>
        </w:rPr>
        <w:t xml:space="preserve"> comparison of the existing (legacy) solution with </w:t>
      </w:r>
      <w:r w:rsidR="006D6AC7">
        <w:rPr>
          <w:color w:val="000000"/>
        </w:rPr>
        <w:t>the dynamic DRX configuration scheme that we propose to study</w:t>
      </w:r>
      <w:r w:rsidRPr="00274A07">
        <w:rPr>
          <w:color w:val="000000"/>
        </w:rPr>
        <w:t xml:space="preserve">. In this </w:t>
      </w:r>
      <w:r w:rsidRPr="00274A07">
        <w:rPr>
          <w:color w:val="000000"/>
        </w:rPr>
        <w:fldChar w:fldCharType="begin"/>
      </w:r>
      <w:r w:rsidRPr="00274A07">
        <w:rPr>
          <w:color w:val="000000"/>
        </w:rPr>
        <w:instrText xml:space="preserve"> REF _Ref528921594 \h </w:instrText>
      </w:r>
      <w:r w:rsidRPr="00274A07">
        <w:rPr>
          <w:color w:val="000000"/>
        </w:rPr>
      </w:r>
      <w:r w:rsidRPr="00274A07">
        <w:rPr>
          <w:color w:val="000000"/>
        </w:rPr>
        <w:fldChar w:fldCharType="separate"/>
      </w:r>
      <w:r w:rsidR="006D6AC7" w:rsidRPr="00274A07">
        <w:t xml:space="preserve">Figure </w:t>
      </w:r>
      <w:r w:rsidR="006D6AC7">
        <w:rPr>
          <w:noProof/>
        </w:rPr>
        <w:t>1</w:t>
      </w:r>
      <w:r w:rsidRPr="00274A07">
        <w:rPr>
          <w:color w:val="000000"/>
        </w:rPr>
        <w:fldChar w:fldCharType="end"/>
      </w:r>
      <w:r w:rsidRPr="00274A07">
        <w:rPr>
          <w:color w:val="000000"/>
        </w:rPr>
        <w:t xml:space="preserve">, t1 and t2 </w:t>
      </w:r>
      <w:proofErr w:type="gramStart"/>
      <w:r w:rsidRPr="00274A07">
        <w:rPr>
          <w:color w:val="000000"/>
        </w:rPr>
        <w:t>are ”off</w:t>
      </w:r>
      <w:proofErr w:type="gramEnd"/>
      <w:r w:rsidRPr="00274A07">
        <w:rPr>
          <w:color w:val="000000"/>
        </w:rPr>
        <w:t>” and “on” time periods</w:t>
      </w:r>
      <w:r w:rsidR="006D6AC7">
        <w:rPr>
          <w:color w:val="000000"/>
        </w:rPr>
        <w:t>, where the UE monitors PDCCH during the “on” time periods</w:t>
      </w:r>
      <w:r w:rsidRPr="00274A07">
        <w:rPr>
          <w:color w:val="000000"/>
        </w:rPr>
        <w:t>.</w:t>
      </w:r>
      <w:r w:rsidR="006D6AC7">
        <w:rPr>
          <w:color w:val="000000"/>
        </w:rPr>
        <w:t xml:space="preserve"> RRC can configure pairs of values of {t</w:t>
      </w:r>
      <w:proofErr w:type="gramStart"/>
      <w:r w:rsidR="006D6AC7">
        <w:rPr>
          <w:color w:val="000000"/>
        </w:rPr>
        <w:t>1,t</w:t>
      </w:r>
      <w:proofErr w:type="gramEnd"/>
      <w:r w:rsidR="006D6AC7">
        <w:rPr>
          <w:color w:val="000000"/>
        </w:rPr>
        <w:t>2} in a table and a DCI can be sent to indicate to the UE an index into that table.</w:t>
      </w:r>
      <w:r w:rsidRPr="00274A07">
        <w:rPr>
          <w:color w:val="000000"/>
        </w:rPr>
        <w:t xml:space="preserve"> </w:t>
      </w:r>
    </w:p>
    <w:p w14:paraId="7C8D5743" w14:textId="41B327D1" w:rsidR="006D6AC7" w:rsidRDefault="006D6AC7" w:rsidP="00A2511A">
      <w:pPr>
        <w:rPr>
          <w:color w:val="000000"/>
        </w:rPr>
      </w:pPr>
      <w:r>
        <w:rPr>
          <w:color w:val="000000"/>
        </w:rPr>
        <w:t>The figure shows “config 1”, which would be appropriate for a first traffic model (e.g. FTP</w:t>
      </w:r>
      <w:r w:rsidR="00970791">
        <w:rPr>
          <w:color w:val="000000"/>
        </w:rPr>
        <w:t>-like</w:t>
      </w:r>
      <w:r>
        <w:rPr>
          <w:color w:val="000000"/>
        </w:rPr>
        <w:t xml:space="preserve"> traffic), and “config 2”, which would be appropriate for a second traffic model (e.g. HTTP</w:t>
      </w:r>
      <w:r w:rsidR="00970791">
        <w:rPr>
          <w:color w:val="000000"/>
        </w:rPr>
        <w:t>-like</w:t>
      </w:r>
      <w:r>
        <w:rPr>
          <w:color w:val="000000"/>
        </w:rPr>
        <w:t xml:space="preserve"> traffic). </w:t>
      </w:r>
      <w:r w:rsidR="00970791">
        <w:rPr>
          <w:color w:val="000000"/>
        </w:rPr>
        <w:t xml:space="preserve">These two traffic models could for instance be supported by a wearable “smartwatch” device, where a music-file download appears like FTP traffic and a fitness application appears like HTTP traffic. </w:t>
      </w:r>
      <w:r>
        <w:rPr>
          <w:color w:val="000000"/>
        </w:rPr>
        <w:t xml:space="preserve">After some of the data packets of the traffic stream have been transmitted (and </w:t>
      </w:r>
      <w:r w:rsidR="007659D0">
        <w:rPr>
          <w:color w:val="000000"/>
        </w:rPr>
        <w:t xml:space="preserve">assuming </w:t>
      </w:r>
      <w:r>
        <w:rPr>
          <w:color w:val="000000"/>
        </w:rPr>
        <w:t xml:space="preserve">the </w:t>
      </w:r>
      <w:proofErr w:type="spellStart"/>
      <w:r>
        <w:rPr>
          <w:color w:val="000000"/>
        </w:rPr>
        <w:t>gNodeB</w:t>
      </w:r>
      <w:proofErr w:type="spellEnd"/>
      <w:r>
        <w:rPr>
          <w:color w:val="000000"/>
        </w:rPr>
        <w:t xml:space="preserve"> is aware of the traffic type, e.g. via deep packet inspection or </w:t>
      </w:r>
      <w:r w:rsidR="00EB7942">
        <w:rPr>
          <w:color w:val="000000"/>
        </w:rPr>
        <w:t>QCI</w:t>
      </w:r>
      <w:r>
        <w:rPr>
          <w:color w:val="000000"/>
        </w:rPr>
        <w:t>)</w:t>
      </w:r>
      <w:r w:rsidR="007659D0">
        <w:rPr>
          <w:color w:val="000000"/>
        </w:rPr>
        <w:t xml:space="preserve">, the </w:t>
      </w:r>
      <w:proofErr w:type="spellStart"/>
      <w:r w:rsidR="007659D0">
        <w:rPr>
          <w:color w:val="000000"/>
        </w:rPr>
        <w:t>gNodeB</w:t>
      </w:r>
      <w:proofErr w:type="spellEnd"/>
      <w:r w:rsidR="007659D0">
        <w:rPr>
          <w:color w:val="000000"/>
        </w:rPr>
        <w:t xml:space="preserve"> sends a DCI to the UE to indicate whether to apply “config 1” DRX / PDCCH monitoring (e.g. if the traffic is FTP) or to apply “config 2” DRX / PDCCH monitoring (e.g. if the traffic is HTTP).</w:t>
      </w:r>
    </w:p>
    <w:p w14:paraId="1AF5D3E4" w14:textId="685CF1E1" w:rsidR="00A2511A" w:rsidRPr="00274A07" w:rsidRDefault="00A2511A" w:rsidP="00A2511A">
      <w:pPr>
        <w:rPr>
          <w:color w:val="000000"/>
        </w:rPr>
      </w:pPr>
      <w:r w:rsidRPr="00274A07">
        <w:rPr>
          <w:color w:val="000000"/>
        </w:rPr>
        <w:t>As can be seen</w:t>
      </w:r>
      <w:r w:rsidR="006D6AC7">
        <w:rPr>
          <w:color w:val="000000"/>
        </w:rPr>
        <w:t xml:space="preserve"> </w:t>
      </w:r>
      <w:r w:rsidR="007659D0">
        <w:rPr>
          <w:color w:val="000000"/>
        </w:rPr>
        <w:t>from the above description</w:t>
      </w:r>
      <w:r w:rsidRPr="00274A07">
        <w:rPr>
          <w:color w:val="000000"/>
        </w:rPr>
        <w:t xml:space="preserve">, with the proposed functionality the DRX cycle can be dynamically configured based on the traffic type. Through this, the unnecessary energy cost of PDCCH channel monitoring can be reduced. The control of the </w:t>
      </w:r>
      <w:r w:rsidR="007659D0">
        <w:rPr>
          <w:color w:val="000000"/>
        </w:rPr>
        <w:t xml:space="preserve">PDCCH </w:t>
      </w:r>
      <w:r w:rsidRPr="00274A07">
        <w:rPr>
          <w:color w:val="000000"/>
        </w:rPr>
        <w:t xml:space="preserve">monitoring can be done per UE by the base station, and the network can tailor a monitoring configuration based on the current UE traffic pattern. This gives a significantly more tailored UE receiver activity period depending on each UE traffic pattern compared to the legacy RRC based signaling, and therefore the </w:t>
      </w:r>
      <w:r w:rsidR="007659D0">
        <w:rPr>
          <w:color w:val="000000"/>
        </w:rPr>
        <w:t>amount of unnecessary PDCCH monitoring can be reduced or eliminated</w:t>
      </w:r>
      <w:r w:rsidRPr="00274A07">
        <w:rPr>
          <w:color w:val="000000"/>
        </w:rPr>
        <w:t>.</w:t>
      </w:r>
    </w:p>
    <w:p w14:paraId="63CE7F02" w14:textId="77777777" w:rsidR="00A2511A" w:rsidRPr="00274A07" w:rsidRDefault="00A2511A" w:rsidP="00A2511A">
      <w:r w:rsidRPr="00274A07">
        <w:rPr>
          <w:noProof/>
        </w:rPr>
        <w:object w:dxaOrig="9435" w:dyaOrig="6195" w14:anchorId="4B365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96pt" o:ole="">
            <v:imagedata r:id="rId8" o:title=""/>
          </v:shape>
          <o:OLEObject Type="Embed" ProgID="Visio.Drawing.11" ShapeID="_x0000_i1025" DrawAspect="Content" ObjectID="_1651084345" r:id="rId9"/>
        </w:object>
      </w:r>
    </w:p>
    <w:p w14:paraId="03EB5DE0" w14:textId="63CB82CC" w:rsidR="00A2511A" w:rsidRPr="00274A07" w:rsidRDefault="00A2511A" w:rsidP="00A2511A">
      <w:pPr>
        <w:pStyle w:val="Caption"/>
        <w:jc w:val="center"/>
        <w:rPr>
          <w:b w:val="0"/>
        </w:rPr>
      </w:pPr>
      <w:bookmarkStart w:id="2" w:name="_Ref528921594"/>
      <w:r w:rsidRPr="00274A07">
        <w:t xml:space="preserve">Figure </w:t>
      </w:r>
      <w:r w:rsidRPr="00274A07">
        <w:fldChar w:fldCharType="begin"/>
      </w:r>
      <w:r w:rsidRPr="00274A07">
        <w:instrText xml:space="preserve"> SEQ Figure \* ARABIC </w:instrText>
      </w:r>
      <w:r w:rsidRPr="00274A07">
        <w:fldChar w:fldCharType="separate"/>
      </w:r>
      <w:r w:rsidR="006D6AC7">
        <w:rPr>
          <w:noProof/>
        </w:rPr>
        <w:t>1</w:t>
      </w:r>
      <w:r w:rsidRPr="00274A07">
        <w:fldChar w:fldCharType="end"/>
      </w:r>
      <w:bookmarkEnd w:id="2"/>
      <w:r w:rsidRPr="00274A07">
        <w:t xml:space="preserve"> – </w:t>
      </w:r>
      <w:r w:rsidR="007659D0">
        <w:t>DCI control of DRX configuration / PDCCH monitoring</w:t>
      </w:r>
    </w:p>
    <w:p w14:paraId="777D0E4C" w14:textId="54A2014D" w:rsidR="00A2511A" w:rsidRDefault="00A2511A" w:rsidP="00A2511A"/>
    <w:p w14:paraId="1C42D281" w14:textId="77777777" w:rsidR="00FE1567" w:rsidRDefault="00E140F7" w:rsidP="00A2511A">
      <w:r>
        <w:t xml:space="preserve">The power saving performance of dynamic DRX configuration was </w:t>
      </w:r>
      <w:proofErr w:type="spellStart"/>
      <w:r>
        <w:t>analysed</w:t>
      </w:r>
      <w:proofErr w:type="spellEnd"/>
      <w:r>
        <w:t xml:space="preserve"> and the results were noted in TR38.840 </w:t>
      </w:r>
      <w:r>
        <w:fldChar w:fldCharType="begin"/>
      </w:r>
      <w:r>
        <w:instrText xml:space="preserve"> REF _Ref40296021 \r \h </w:instrText>
      </w:r>
      <w:r>
        <w:fldChar w:fldCharType="separate"/>
      </w:r>
      <w:r w:rsidR="006D6AC7">
        <w:t>[2]</w:t>
      </w:r>
      <w:r>
        <w:fldChar w:fldCharType="end"/>
      </w:r>
      <w:r>
        <w:t xml:space="preserve">, where it was noted that a power saving gain of 48% was observed for the given evaluation assumptions. Further details on the evaluation are available in </w:t>
      </w:r>
      <w:r w:rsidR="00FE1567">
        <w:fldChar w:fldCharType="begin"/>
      </w:r>
      <w:r w:rsidR="00FE1567">
        <w:instrText xml:space="preserve"> REF _Ref40299765 \r \h </w:instrText>
      </w:r>
      <w:r w:rsidR="00FE1567">
        <w:fldChar w:fldCharType="separate"/>
      </w:r>
      <w:r w:rsidR="00FE1567">
        <w:t>[4]</w:t>
      </w:r>
      <w:r w:rsidR="00FE1567">
        <w:fldChar w:fldCharType="end"/>
      </w:r>
      <w:r w:rsidR="00FE1567">
        <w:t>.</w:t>
      </w:r>
    </w:p>
    <w:p w14:paraId="0BF7BE87" w14:textId="4132727E" w:rsidR="00FE1567" w:rsidRPr="00FB763D" w:rsidRDefault="00FE1567" w:rsidP="00A2511A">
      <w:pPr>
        <w:rPr>
          <w:b/>
        </w:rPr>
      </w:pPr>
      <w:r w:rsidRPr="00FB763D">
        <w:rPr>
          <w:b/>
        </w:rPr>
        <w:t>Proposal</w:t>
      </w:r>
      <w:r w:rsidR="00FB763D" w:rsidRPr="00FB763D">
        <w:rPr>
          <w:b/>
        </w:rPr>
        <w:t xml:space="preserve"> </w:t>
      </w:r>
      <w:r w:rsidR="00EB7942">
        <w:rPr>
          <w:b/>
        </w:rPr>
        <w:t>3</w:t>
      </w:r>
      <w:r w:rsidRPr="00FB763D">
        <w:rPr>
          <w:b/>
        </w:rPr>
        <w:t>: Study DCI-controlled reduced PDCCH monitoring and adaptive DRX configuration.</w:t>
      </w:r>
    </w:p>
    <w:p w14:paraId="6618CE39" w14:textId="10B6C058" w:rsidR="00E140F7" w:rsidRDefault="00E140F7" w:rsidP="00A2511A"/>
    <w:p w14:paraId="4DFDA0F9" w14:textId="15957C32" w:rsidR="00FE1567" w:rsidRPr="00274A07" w:rsidRDefault="00FE1567" w:rsidP="00A2511A">
      <w:r>
        <w:t xml:space="preserve">Semi-static ways to reduce PDCCH monitoring were also considered in </w:t>
      </w:r>
      <w:r>
        <w:fldChar w:fldCharType="begin"/>
      </w:r>
      <w:r>
        <w:instrText xml:space="preserve"> REF _Ref40299765 \r \h </w:instrText>
      </w:r>
      <w:r>
        <w:fldChar w:fldCharType="separate"/>
      </w:r>
      <w:r>
        <w:t>[4]</w:t>
      </w:r>
      <w:r>
        <w:fldChar w:fldCharType="end"/>
      </w:r>
      <w:r>
        <w:t>. For example, the rate of PDCCH monitoring could be changed as a function of operation of the inactivity timer</w:t>
      </w:r>
      <w:r w:rsidR="00FB763D">
        <w:t xml:space="preserve"> or as a function of short DRX cycle operation. Such techniques may also be considered.</w:t>
      </w:r>
    </w:p>
    <w:p w14:paraId="1BBE3005" w14:textId="77777777" w:rsidR="00A2511A" w:rsidRPr="00A2511A" w:rsidRDefault="00A2511A" w:rsidP="00A2511A">
      <w:pPr>
        <w:rPr>
          <w:lang w:val="en-GB" w:eastAsia="ja-JP"/>
        </w:rPr>
      </w:pPr>
    </w:p>
    <w:p w14:paraId="3547F4CF" w14:textId="77777777" w:rsidR="008759B2" w:rsidRDefault="008759B2"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6F8F1680" w:rsidR="004246DC" w:rsidRDefault="00A15421" w:rsidP="004246DC">
      <w:pPr>
        <w:pStyle w:val="Heading1"/>
        <w:jc w:val="left"/>
        <w:rPr>
          <w:color w:val="000000" w:themeColor="text1"/>
          <w:lang w:eastAsia="zh-CN"/>
        </w:rPr>
      </w:pPr>
      <w:r>
        <w:rPr>
          <w:color w:val="000000" w:themeColor="text1"/>
          <w:lang w:eastAsia="zh-CN"/>
        </w:rPr>
        <w:t>Conclusion</w:t>
      </w:r>
    </w:p>
    <w:p w14:paraId="730890DC" w14:textId="7F801B24" w:rsidR="00D14349" w:rsidRDefault="00104A15" w:rsidP="00BE7F81">
      <w:pPr>
        <w:rPr>
          <w:rFonts w:eastAsia="Times New Roman"/>
          <w:color w:val="000000"/>
        </w:rPr>
      </w:pPr>
      <w:r>
        <w:rPr>
          <w:rFonts w:eastAsia="Times New Roman"/>
          <w:color w:val="000000"/>
        </w:rPr>
        <w:t xml:space="preserve">This document has considered </w:t>
      </w:r>
      <w:r w:rsidR="003B45FD">
        <w:rPr>
          <w:rFonts w:eastAsia="Times New Roman"/>
          <w:color w:val="000000"/>
        </w:rPr>
        <w:t xml:space="preserve">issues related to </w:t>
      </w:r>
      <w:r w:rsidR="00AF5853">
        <w:rPr>
          <w:rFonts w:eastAsia="Times New Roman"/>
          <w:color w:val="000000"/>
        </w:rPr>
        <w:t>battery lifetime enhancement</w:t>
      </w:r>
      <w:r w:rsidR="00F73C61">
        <w:rPr>
          <w:rFonts w:eastAsia="Times New Roman"/>
          <w:color w:val="000000"/>
        </w:rPr>
        <w:t xml:space="preserve"> for NR devices through reduction of PDCCH monitoring</w:t>
      </w:r>
      <w:r w:rsidR="006F73E6">
        <w:rPr>
          <w:rFonts w:eastAsia="Times New Roman"/>
          <w:color w:val="000000"/>
        </w:rPr>
        <w:t>.</w:t>
      </w:r>
      <w:r w:rsidR="00784ECC">
        <w:rPr>
          <w:rFonts w:eastAsia="Times New Roman"/>
          <w:color w:val="000000"/>
        </w:rPr>
        <w:t xml:space="preserve"> The following proposals are made:</w:t>
      </w:r>
    </w:p>
    <w:p w14:paraId="29DDB8A9" w14:textId="475F2A08" w:rsidR="00784ECC" w:rsidRPr="00DF434D" w:rsidRDefault="00784ECC" w:rsidP="00784ECC">
      <w:pPr>
        <w:rPr>
          <w:rFonts w:eastAsia="MS Mincho"/>
          <w:b/>
          <w:color w:val="000000" w:themeColor="text1"/>
          <w:lang w:val="en-GB" w:eastAsia="ja-JP"/>
        </w:rPr>
      </w:pPr>
      <w:r w:rsidRPr="00DF434D">
        <w:rPr>
          <w:rFonts w:eastAsia="MS Mincho"/>
          <w:b/>
          <w:color w:val="000000" w:themeColor="text1"/>
          <w:lang w:val="en-GB" w:eastAsia="ja-JP"/>
        </w:rPr>
        <w:t xml:space="preserve">Proposal </w:t>
      </w:r>
      <w:r w:rsidR="00EB7942">
        <w:rPr>
          <w:rFonts w:eastAsia="MS Mincho"/>
          <w:b/>
          <w:color w:val="000000" w:themeColor="text1"/>
          <w:lang w:val="en-GB" w:eastAsia="ja-JP"/>
        </w:rPr>
        <w:t>1</w:t>
      </w:r>
      <w:r w:rsidRPr="00DF434D">
        <w:rPr>
          <w:rFonts w:eastAsia="MS Mincho"/>
          <w:b/>
          <w:color w:val="000000" w:themeColor="text1"/>
          <w:lang w:val="en-GB" w:eastAsia="ja-JP"/>
        </w:rPr>
        <w:t>: The study considers the impact that PDCCH search space reduction has on PDCCH efficiency and blocking probability.</w:t>
      </w:r>
    </w:p>
    <w:p w14:paraId="709E29CA" w14:textId="110B611C" w:rsidR="00784ECC" w:rsidRPr="00970791" w:rsidRDefault="00784ECC" w:rsidP="00BE7F81">
      <w:pPr>
        <w:rPr>
          <w:rFonts w:eastAsia="MS Mincho"/>
          <w:b/>
          <w:color w:val="000000" w:themeColor="text1"/>
          <w:lang w:val="en-GB" w:eastAsia="ja-JP"/>
        </w:rPr>
      </w:pPr>
      <w:r w:rsidRPr="00DF434D">
        <w:rPr>
          <w:rFonts w:eastAsia="MS Mincho"/>
          <w:b/>
          <w:color w:val="000000" w:themeColor="text1"/>
          <w:lang w:val="en-GB" w:eastAsia="ja-JP"/>
        </w:rPr>
        <w:t xml:space="preserve">Proposal </w:t>
      </w:r>
      <w:r w:rsidR="00EB7942">
        <w:rPr>
          <w:rFonts w:eastAsia="MS Mincho"/>
          <w:b/>
          <w:color w:val="000000" w:themeColor="text1"/>
          <w:lang w:val="en-GB" w:eastAsia="ja-JP"/>
        </w:rPr>
        <w:t>2</w:t>
      </w:r>
      <w:r w:rsidRPr="00DF434D">
        <w:rPr>
          <w:rFonts w:eastAsia="MS Mincho"/>
          <w:b/>
          <w:color w:val="000000" w:themeColor="text1"/>
          <w:lang w:val="en-GB" w:eastAsia="ja-JP"/>
        </w:rPr>
        <w:t xml:space="preserve">: </w:t>
      </w:r>
      <w:r>
        <w:rPr>
          <w:rFonts w:eastAsia="MS Mincho"/>
          <w:b/>
          <w:color w:val="000000" w:themeColor="text1"/>
          <w:lang w:val="en-GB" w:eastAsia="ja-JP"/>
        </w:rPr>
        <w:t>The study considers PDCCH skipping as a technique for reducing PDCCH blind decoding</w:t>
      </w:r>
      <w:r w:rsidRPr="00DF434D">
        <w:rPr>
          <w:rFonts w:eastAsia="MS Mincho"/>
          <w:b/>
          <w:color w:val="000000" w:themeColor="text1"/>
          <w:lang w:val="en-GB" w:eastAsia="ja-JP"/>
        </w:rPr>
        <w:t>.</w:t>
      </w:r>
      <w:bookmarkStart w:id="3" w:name="_GoBack"/>
      <w:bookmarkEnd w:id="3"/>
    </w:p>
    <w:p w14:paraId="4222F835" w14:textId="29AB65B2" w:rsidR="00784ECC" w:rsidRPr="00FB763D" w:rsidRDefault="00784ECC" w:rsidP="00784ECC">
      <w:pPr>
        <w:rPr>
          <w:b/>
        </w:rPr>
      </w:pPr>
      <w:r w:rsidRPr="00FB763D">
        <w:rPr>
          <w:b/>
        </w:rPr>
        <w:t xml:space="preserve">Proposal </w:t>
      </w:r>
      <w:r w:rsidR="00EB7942">
        <w:rPr>
          <w:b/>
        </w:rPr>
        <w:t>3</w:t>
      </w:r>
      <w:r w:rsidRPr="00FB763D">
        <w:rPr>
          <w:b/>
        </w:rPr>
        <w:t>: Study DCI-controlled reduced PDCCH monitoring and adaptive DRX configuration.</w:t>
      </w:r>
    </w:p>
    <w:p w14:paraId="54AA9FB8" w14:textId="77777777" w:rsidR="005E459E" w:rsidRPr="0065385D" w:rsidRDefault="005E459E" w:rsidP="00FD5E85">
      <w:pPr>
        <w:rPr>
          <w:rFonts w:eastAsia="MS Mincho"/>
          <w:b/>
        </w:rPr>
      </w:pPr>
    </w:p>
    <w:p w14:paraId="644C6D25" w14:textId="1944CC2A" w:rsidR="004246DC" w:rsidRPr="005B50B6" w:rsidRDefault="00F119FE" w:rsidP="004246DC">
      <w:pPr>
        <w:pStyle w:val="Heading1"/>
        <w:jc w:val="left"/>
        <w:rPr>
          <w:color w:val="000000" w:themeColor="text1"/>
          <w:lang w:eastAsia="zh-CN"/>
        </w:rPr>
      </w:pPr>
      <w:r>
        <w:rPr>
          <w:color w:val="000000" w:themeColor="text1"/>
          <w:lang w:eastAsia="zh-CN"/>
        </w:rPr>
        <w:lastRenderedPageBreak/>
        <w:t>R</w:t>
      </w:r>
      <w:r w:rsidR="004246DC" w:rsidRPr="005B50B6">
        <w:rPr>
          <w:color w:val="000000" w:themeColor="text1"/>
          <w:lang w:eastAsia="zh-CN"/>
        </w:rPr>
        <w:t>eferences</w:t>
      </w:r>
      <w:r w:rsidR="004246DC" w:rsidRPr="005B50B6">
        <w:rPr>
          <w:rFonts w:hint="eastAsia"/>
          <w:color w:val="000000" w:themeColor="text1"/>
          <w:lang w:eastAsia="zh-CN"/>
        </w:rPr>
        <w:t xml:space="preserve"> </w:t>
      </w:r>
    </w:p>
    <w:p w14:paraId="1E89A24F" w14:textId="7A11F391" w:rsidR="00A37249" w:rsidRPr="00E140F7" w:rsidRDefault="00693D15" w:rsidP="00A64768">
      <w:pPr>
        <w:pStyle w:val="NormalWeb"/>
        <w:numPr>
          <w:ilvl w:val="0"/>
          <w:numId w:val="2"/>
        </w:numPr>
        <w:spacing w:before="0" w:beforeAutospacing="0" w:after="120" w:afterAutospacing="0"/>
        <w:rPr>
          <w:rFonts w:ascii="Times New Roman" w:hAnsi="Times New Roman" w:cs="Times New Roman"/>
          <w:sz w:val="22"/>
          <w:szCs w:val="22"/>
        </w:rPr>
      </w:pPr>
      <w:bookmarkStart w:id="4" w:name="_Ref40088661"/>
      <w:r w:rsidRPr="00E140F7">
        <w:rPr>
          <w:rFonts w:ascii="Times New Roman" w:eastAsia="Times New Roman" w:hAnsi="Times New Roman" w:cs="Times New Roman"/>
          <w:color w:val="201F1E"/>
          <w:sz w:val="22"/>
          <w:szCs w:val="22"/>
          <w:bdr w:val="none" w:sz="0" w:space="0" w:color="auto" w:frame="1"/>
        </w:rPr>
        <w:t>RP-193238</w:t>
      </w:r>
      <w:r w:rsidRPr="00E140F7">
        <w:rPr>
          <w:rFonts w:ascii="Times New Roman" w:hAnsi="Times New Roman" w:cs="Times New Roman"/>
          <w:sz w:val="22"/>
          <w:szCs w:val="22"/>
        </w:rPr>
        <w:t xml:space="preserve">. “New SID on support of reduced capability NR devices”. RAN plenary # 86. </w:t>
      </w:r>
      <w:proofErr w:type="spellStart"/>
      <w:r w:rsidRPr="00E140F7">
        <w:rPr>
          <w:rFonts w:ascii="Times New Roman" w:hAnsi="Times New Roman" w:cs="Times New Roman"/>
          <w:sz w:val="22"/>
          <w:szCs w:val="22"/>
        </w:rPr>
        <w:t>Sitges</w:t>
      </w:r>
      <w:proofErr w:type="spellEnd"/>
      <w:r w:rsidRPr="00E140F7">
        <w:rPr>
          <w:rFonts w:ascii="Times New Roman" w:hAnsi="Times New Roman" w:cs="Times New Roman"/>
          <w:sz w:val="22"/>
          <w:szCs w:val="22"/>
        </w:rPr>
        <w:t>, Spain. December 2019.</w:t>
      </w:r>
      <w:bookmarkEnd w:id="4"/>
    </w:p>
    <w:p w14:paraId="1DB9FDC3" w14:textId="679E46ED" w:rsidR="007E004B" w:rsidRPr="00784ECC" w:rsidRDefault="007E004B" w:rsidP="00A64768">
      <w:pPr>
        <w:pStyle w:val="NormalWeb"/>
        <w:numPr>
          <w:ilvl w:val="0"/>
          <w:numId w:val="2"/>
        </w:numPr>
        <w:spacing w:before="0" w:beforeAutospacing="0" w:after="120" w:afterAutospacing="0"/>
        <w:rPr>
          <w:rFonts w:ascii="Times New Roman" w:hAnsi="Times New Roman" w:cs="Times New Roman"/>
          <w:sz w:val="22"/>
          <w:szCs w:val="22"/>
        </w:rPr>
      </w:pPr>
      <w:bookmarkStart w:id="5" w:name="_Ref40296021"/>
      <w:r w:rsidRPr="00784ECC">
        <w:rPr>
          <w:rFonts w:ascii="Times New Roman" w:eastAsia="Times New Roman" w:hAnsi="Times New Roman" w:cs="Times New Roman"/>
          <w:color w:val="201F1E"/>
          <w:sz w:val="22"/>
          <w:szCs w:val="22"/>
          <w:bdr w:val="none" w:sz="0" w:space="0" w:color="auto" w:frame="1"/>
        </w:rPr>
        <w:t>TR38</w:t>
      </w:r>
      <w:r w:rsidRPr="00784ECC">
        <w:rPr>
          <w:rFonts w:ascii="Times New Roman" w:hAnsi="Times New Roman" w:cs="Times New Roman"/>
          <w:sz w:val="22"/>
          <w:szCs w:val="22"/>
        </w:rPr>
        <w:t>.840</w:t>
      </w:r>
      <w:bookmarkEnd w:id="5"/>
      <w:r w:rsidR="00784ECC" w:rsidRPr="00784ECC">
        <w:rPr>
          <w:rFonts w:ascii="Times New Roman" w:hAnsi="Times New Roman" w:cs="Times New Roman"/>
          <w:sz w:val="22"/>
          <w:szCs w:val="22"/>
        </w:rPr>
        <w:t xml:space="preserve"> “Study on UE power saving”.</w:t>
      </w:r>
    </w:p>
    <w:p w14:paraId="4C25CEFA" w14:textId="11DC4EFF" w:rsidR="007E004B" w:rsidRPr="00E140F7" w:rsidRDefault="007E004B" w:rsidP="00A64768">
      <w:pPr>
        <w:pStyle w:val="NormalWeb"/>
        <w:numPr>
          <w:ilvl w:val="0"/>
          <w:numId w:val="2"/>
        </w:numPr>
        <w:spacing w:before="0" w:beforeAutospacing="0" w:after="120" w:afterAutospacing="0"/>
        <w:rPr>
          <w:rFonts w:ascii="Times New Roman" w:hAnsi="Times New Roman" w:cs="Times New Roman"/>
          <w:sz w:val="22"/>
          <w:szCs w:val="22"/>
        </w:rPr>
      </w:pPr>
      <w:bookmarkStart w:id="6" w:name="_Ref40300443"/>
      <w:r w:rsidRPr="00E140F7">
        <w:rPr>
          <w:rFonts w:ascii="Times New Roman" w:hAnsi="Times New Roman" w:cs="Times New Roman"/>
          <w:sz w:val="22"/>
          <w:szCs w:val="22"/>
        </w:rPr>
        <w:t>R1-1903137</w:t>
      </w:r>
      <w:r w:rsidR="00E140F7">
        <w:rPr>
          <w:rFonts w:ascii="Times New Roman" w:hAnsi="Times New Roman" w:cs="Times New Roman"/>
          <w:sz w:val="22"/>
          <w:szCs w:val="22"/>
        </w:rPr>
        <w:t>. “</w:t>
      </w:r>
      <w:r w:rsidRPr="00E140F7">
        <w:rPr>
          <w:rFonts w:ascii="Times New Roman" w:hAnsi="Times New Roman" w:cs="Times New Roman"/>
          <w:sz w:val="22"/>
          <w:szCs w:val="22"/>
        </w:rPr>
        <w:t>Considerations for limiting the PDCCH blind decoding candidates</w:t>
      </w:r>
      <w:r w:rsidR="00E140F7">
        <w:rPr>
          <w:rFonts w:ascii="Times New Roman" w:hAnsi="Times New Roman" w:cs="Times New Roman"/>
          <w:sz w:val="22"/>
          <w:szCs w:val="22"/>
        </w:rPr>
        <w:t xml:space="preserve">”. </w:t>
      </w:r>
      <w:r w:rsidRPr="00E140F7">
        <w:rPr>
          <w:rFonts w:ascii="Times New Roman" w:hAnsi="Times New Roman" w:cs="Times New Roman"/>
          <w:sz w:val="22"/>
          <w:szCs w:val="22"/>
        </w:rPr>
        <w:t>Nokia</w:t>
      </w:r>
      <w:r w:rsidR="00E117CD">
        <w:rPr>
          <w:rFonts w:ascii="Times New Roman" w:hAnsi="Times New Roman" w:cs="Times New Roman"/>
          <w:sz w:val="22"/>
          <w:szCs w:val="22"/>
        </w:rPr>
        <w:t xml:space="preserve">. </w:t>
      </w:r>
      <w:r w:rsidR="00E117CD" w:rsidRPr="00E140F7">
        <w:rPr>
          <w:rFonts w:ascii="Times New Roman" w:hAnsi="Times New Roman" w:cs="Times New Roman"/>
          <w:sz w:val="22"/>
          <w:szCs w:val="22"/>
        </w:rPr>
        <w:t>RAN1#96. Athens, Greece. Feb 2019.</w:t>
      </w:r>
      <w:bookmarkEnd w:id="6"/>
    </w:p>
    <w:p w14:paraId="0A1EADC0" w14:textId="10FE3291" w:rsidR="00E140F7" w:rsidRDefault="00E140F7" w:rsidP="00A64768">
      <w:pPr>
        <w:pStyle w:val="NormalWeb"/>
        <w:numPr>
          <w:ilvl w:val="0"/>
          <w:numId w:val="2"/>
        </w:numPr>
        <w:spacing w:before="0" w:beforeAutospacing="0" w:after="120" w:afterAutospacing="0"/>
        <w:rPr>
          <w:rFonts w:ascii="Times New Roman" w:hAnsi="Times New Roman" w:cs="Times New Roman"/>
          <w:sz w:val="22"/>
          <w:szCs w:val="22"/>
        </w:rPr>
      </w:pPr>
      <w:bookmarkStart w:id="7" w:name="_Ref40299765"/>
      <w:r w:rsidRPr="00E140F7">
        <w:rPr>
          <w:rFonts w:ascii="Times New Roman" w:hAnsi="Times New Roman" w:cs="Times New Roman"/>
          <w:sz w:val="22"/>
          <w:szCs w:val="22"/>
        </w:rPr>
        <w:t>R1-1902186. “Power saving techniques for NR”. Sony. RAN1#96. Athens, Greece. Feb 2019.</w:t>
      </w:r>
      <w:bookmarkEnd w:id="7"/>
    </w:p>
    <w:p w14:paraId="02E691B6" w14:textId="71B4634B" w:rsidR="002257EE" w:rsidRPr="00E140F7" w:rsidRDefault="002257EE" w:rsidP="00A64768">
      <w:pPr>
        <w:pStyle w:val="NormalWeb"/>
        <w:numPr>
          <w:ilvl w:val="0"/>
          <w:numId w:val="2"/>
        </w:numPr>
        <w:spacing w:before="0" w:beforeAutospacing="0" w:after="120" w:afterAutospacing="0"/>
        <w:rPr>
          <w:rFonts w:ascii="Times New Roman" w:hAnsi="Times New Roman" w:cs="Times New Roman"/>
          <w:sz w:val="22"/>
          <w:szCs w:val="22"/>
        </w:rPr>
      </w:pPr>
      <w:bookmarkStart w:id="8" w:name="_Ref40302895"/>
      <w:r>
        <w:rPr>
          <w:rFonts w:ascii="Times New Roman" w:hAnsi="Times New Roman" w:cs="Times New Roman"/>
          <w:sz w:val="22"/>
          <w:szCs w:val="22"/>
        </w:rPr>
        <w:t>R1-1901803. “</w:t>
      </w:r>
      <w:r w:rsidRPr="002257EE">
        <w:rPr>
          <w:rFonts w:ascii="Times New Roman" w:hAnsi="Times New Roman" w:cs="Times New Roman"/>
          <w:sz w:val="22"/>
          <w:szCs w:val="22"/>
        </w:rPr>
        <w:t>Evaluation Results of NR Power Saving Designs</w:t>
      </w:r>
      <w:r>
        <w:rPr>
          <w:rFonts w:ascii="Times New Roman" w:hAnsi="Times New Roman" w:cs="Times New Roman"/>
          <w:sz w:val="22"/>
          <w:szCs w:val="22"/>
        </w:rPr>
        <w:t xml:space="preserve">”. </w:t>
      </w:r>
      <w:proofErr w:type="spellStart"/>
      <w:r>
        <w:rPr>
          <w:rFonts w:ascii="Times New Roman" w:hAnsi="Times New Roman" w:cs="Times New Roman"/>
          <w:sz w:val="22"/>
          <w:szCs w:val="22"/>
        </w:rPr>
        <w:t>Mediatek</w:t>
      </w:r>
      <w:proofErr w:type="spellEnd"/>
      <w:r>
        <w:rPr>
          <w:rFonts w:ascii="Times New Roman" w:hAnsi="Times New Roman" w:cs="Times New Roman"/>
          <w:sz w:val="22"/>
          <w:szCs w:val="22"/>
        </w:rPr>
        <w:t xml:space="preserve">. </w:t>
      </w:r>
      <w:r w:rsidRPr="00E140F7">
        <w:rPr>
          <w:rFonts w:ascii="Times New Roman" w:hAnsi="Times New Roman" w:cs="Times New Roman"/>
          <w:sz w:val="22"/>
          <w:szCs w:val="22"/>
        </w:rPr>
        <w:t>RAN1#96. Athens, Greece. Feb 2019.</w:t>
      </w:r>
      <w:bookmarkEnd w:id="8"/>
    </w:p>
    <w:p w14:paraId="12426411" w14:textId="77777777" w:rsidR="00E140F7" w:rsidRPr="00494162" w:rsidRDefault="00E140F7" w:rsidP="00FB763D">
      <w:pPr>
        <w:pStyle w:val="NormalWeb"/>
        <w:spacing w:before="0" w:beforeAutospacing="0" w:after="120" w:afterAutospacing="0"/>
        <w:rPr>
          <w:rFonts w:ascii="Times New Roman" w:hAnsi="Times New Roman" w:cs="Times New Roman"/>
          <w:sz w:val="21"/>
          <w:szCs w:val="21"/>
        </w:rPr>
      </w:pPr>
    </w:p>
    <w:p w14:paraId="2324BCA5" w14:textId="5E3BF8D9" w:rsidR="00770BD5" w:rsidRDefault="00770BD5" w:rsidP="00220CB6">
      <w:pPr>
        <w:pStyle w:val="NormalWeb"/>
        <w:spacing w:before="0" w:beforeAutospacing="0" w:after="120" w:afterAutospacing="0"/>
        <w:rPr>
          <w:rFonts w:ascii="Times New Roman" w:hAnsi="Times New Roman" w:cs="Times New Roman"/>
          <w:sz w:val="21"/>
          <w:szCs w:val="22"/>
        </w:rPr>
      </w:pPr>
    </w:p>
    <w:p w14:paraId="219C7392" w14:textId="73FD29F2" w:rsidR="0069005D" w:rsidRDefault="0069005D" w:rsidP="0069005D">
      <w:pPr>
        <w:pStyle w:val="NormalWeb"/>
        <w:spacing w:before="0" w:beforeAutospacing="0" w:after="120" w:afterAutospacing="0"/>
        <w:ind w:left="357"/>
        <w:rPr>
          <w:rFonts w:ascii="Times New Roman" w:hAnsi="Times New Roman" w:cs="Times New Roman"/>
          <w:sz w:val="21"/>
          <w:szCs w:val="22"/>
        </w:rPr>
      </w:pPr>
    </w:p>
    <w:sectPr w:rsidR="0069005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A219C" w14:textId="77777777" w:rsidR="00312CBD" w:rsidRDefault="00312CBD" w:rsidP="00530B04">
      <w:pPr>
        <w:spacing w:after="0"/>
      </w:pPr>
      <w:r>
        <w:separator/>
      </w:r>
    </w:p>
  </w:endnote>
  <w:endnote w:type="continuationSeparator" w:id="0">
    <w:p w14:paraId="1E3DE39B" w14:textId="77777777" w:rsidR="00312CBD" w:rsidRDefault="00312CBD"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B4E8B" w14:textId="77777777" w:rsidR="00312CBD" w:rsidRDefault="00312CBD" w:rsidP="00530B04">
      <w:pPr>
        <w:spacing w:after="0"/>
      </w:pPr>
      <w:r>
        <w:separator/>
      </w:r>
    </w:p>
  </w:footnote>
  <w:footnote w:type="continuationSeparator" w:id="0">
    <w:p w14:paraId="71AD3A63" w14:textId="77777777" w:rsidR="00312CBD" w:rsidRDefault="00312CBD"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133F66"/>
    <w:multiLevelType w:val="hybridMultilevel"/>
    <w:tmpl w:val="D1AC5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09B2"/>
    <w:multiLevelType w:val="hybridMultilevel"/>
    <w:tmpl w:val="612E9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D101EC"/>
    <w:multiLevelType w:val="hybridMultilevel"/>
    <w:tmpl w:val="4AAE5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08AE"/>
    <w:multiLevelType w:val="hybridMultilevel"/>
    <w:tmpl w:val="39DAE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4C2620D"/>
    <w:multiLevelType w:val="hybridMultilevel"/>
    <w:tmpl w:val="9E6AF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B625A"/>
    <w:multiLevelType w:val="hybridMultilevel"/>
    <w:tmpl w:val="A1920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D96B0D"/>
    <w:multiLevelType w:val="hybridMultilevel"/>
    <w:tmpl w:val="708E9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11295"/>
    <w:multiLevelType w:val="hybridMultilevel"/>
    <w:tmpl w:val="CB64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3D5DBB"/>
    <w:multiLevelType w:val="hybridMultilevel"/>
    <w:tmpl w:val="19868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977A51"/>
    <w:multiLevelType w:val="hybridMultilevel"/>
    <w:tmpl w:val="6E9CA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D011E8"/>
    <w:multiLevelType w:val="hybridMultilevel"/>
    <w:tmpl w:val="61C8B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C32A8B"/>
    <w:multiLevelType w:val="hybridMultilevel"/>
    <w:tmpl w:val="BECE5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F037C7"/>
    <w:multiLevelType w:val="hybridMultilevel"/>
    <w:tmpl w:val="C3147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4A7CEA"/>
    <w:multiLevelType w:val="hybridMultilevel"/>
    <w:tmpl w:val="C9BE3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A4084D"/>
    <w:multiLevelType w:val="multilevel"/>
    <w:tmpl w:val="625CFA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7E154F"/>
    <w:multiLevelType w:val="hybridMultilevel"/>
    <w:tmpl w:val="A6F2153C"/>
    <w:lvl w:ilvl="0" w:tplc="73E4900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D87BF3"/>
    <w:multiLevelType w:val="hybridMultilevel"/>
    <w:tmpl w:val="FD86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E54971"/>
    <w:multiLevelType w:val="hybridMultilevel"/>
    <w:tmpl w:val="1FFEC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25326D"/>
    <w:multiLevelType w:val="hybridMultilevel"/>
    <w:tmpl w:val="9F96B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620039"/>
    <w:multiLevelType w:val="hybridMultilevel"/>
    <w:tmpl w:val="C4CAFC80"/>
    <w:lvl w:ilvl="0" w:tplc="34F02EFC">
      <w:start w:val="7"/>
      <w:numFmt w:val="bullet"/>
      <w:lvlText w:val="-"/>
      <w:lvlJc w:val="left"/>
      <w:pPr>
        <w:ind w:left="720" w:hanging="360"/>
      </w:pPr>
      <w:rPr>
        <w:rFonts w:ascii="Calibri" w:eastAsiaTheme="minorEastAsia" w:hAnsi="Calibri" w:cs="Calibri" w:hint="default"/>
        <w:color w:val="auto"/>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0E52B0"/>
    <w:multiLevelType w:val="hybridMultilevel"/>
    <w:tmpl w:val="F6BC3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A21404"/>
    <w:multiLevelType w:val="multilevel"/>
    <w:tmpl w:val="000664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7"/>
  </w:num>
  <w:num w:numId="5">
    <w:abstractNumId w:val="33"/>
  </w:num>
  <w:num w:numId="6">
    <w:abstractNumId w:val="5"/>
  </w:num>
  <w:num w:numId="7">
    <w:abstractNumId w:val="6"/>
  </w:num>
  <w:num w:numId="8">
    <w:abstractNumId w:val="24"/>
  </w:num>
  <w:num w:numId="9">
    <w:abstractNumId w:val="9"/>
  </w:num>
  <w:num w:numId="10">
    <w:abstractNumId w:val="21"/>
  </w:num>
  <w:num w:numId="11">
    <w:abstractNumId w:val="29"/>
  </w:num>
  <w:num w:numId="12">
    <w:abstractNumId w:val="27"/>
  </w:num>
  <w:num w:numId="13">
    <w:abstractNumId w:val="31"/>
  </w:num>
  <w:num w:numId="14">
    <w:abstractNumId w:val="12"/>
  </w:num>
  <w:num w:numId="15">
    <w:abstractNumId w:val="25"/>
  </w:num>
  <w:num w:numId="16">
    <w:abstractNumId w:val="34"/>
  </w:num>
  <w:num w:numId="17">
    <w:abstractNumId w:val="30"/>
  </w:num>
  <w:num w:numId="18">
    <w:abstractNumId w:val="11"/>
  </w:num>
  <w:num w:numId="19">
    <w:abstractNumId w:val="13"/>
  </w:num>
  <w:num w:numId="20">
    <w:abstractNumId w:val="23"/>
  </w:num>
  <w:num w:numId="21">
    <w:abstractNumId w:val="22"/>
  </w:num>
  <w:num w:numId="2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3">
    <w:abstractNumId w:val="26"/>
  </w:num>
  <w:num w:numId="24">
    <w:abstractNumId w:val="8"/>
  </w:num>
  <w:num w:numId="25">
    <w:abstractNumId w:val="36"/>
  </w:num>
  <w:num w:numId="26">
    <w:abstractNumId w:val="3"/>
  </w:num>
  <w:num w:numId="27">
    <w:abstractNumId w:val="4"/>
  </w:num>
  <w:num w:numId="28">
    <w:abstractNumId w:val="20"/>
  </w:num>
  <w:num w:numId="29">
    <w:abstractNumId w:val="10"/>
  </w:num>
  <w:num w:numId="30">
    <w:abstractNumId w:val="1"/>
  </w:num>
  <w:num w:numId="31">
    <w:abstractNumId w:val="35"/>
  </w:num>
  <w:num w:numId="32">
    <w:abstractNumId w:val="7"/>
  </w:num>
  <w:num w:numId="33">
    <w:abstractNumId w:val="15"/>
  </w:num>
  <w:num w:numId="34">
    <w:abstractNumId w:val="2"/>
  </w:num>
  <w:num w:numId="35">
    <w:abstractNumId w:val="19"/>
  </w:num>
  <w:num w:numId="36">
    <w:abstractNumId w:val="32"/>
  </w:num>
  <w:num w:numId="37">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018E8"/>
    <w:rsid w:val="000032AE"/>
    <w:rsid w:val="000057B6"/>
    <w:rsid w:val="00012F61"/>
    <w:rsid w:val="0001388F"/>
    <w:rsid w:val="00014405"/>
    <w:rsid w:val="000153B8"/>
    <w:rsid w:val="000161E2"/>
    <w:rsid w:val="00025239"/>
    <w:rsid w:val="0002564F"/>
    <w:rsid w:val="00034ED6"/>
    <w:rsid w:val="000403E2"/>
    <w:rsid w:val="00042E3B"/>
    <w:rsid w:val="00051643"/>
    <w:rsid w:val="0005228D"/>
    <w:rsid w:val="000546AA"/>
    <w:rsid w:val="00057733"/>
    <w:rsid w:val="00057B34"/>
    <w:rsid w:val="000613FC"/>
    <w:rsid w:val="00065397"/>
    <w:rsid w:val="0006615E"/>
    <w:rsid w:val="00066942"/>
    <w:rsid w:val="0007331C"/>
    <w:rsid w:val="00073544"/>
    <w:rsid w:val="00074007"/>
    <w:rsid w:val="000760F3"/>
    <w:rsid w:val="0008402E"/>
    <w:rsid w:val="0009067B"/>
    <w:rsid w:val="00095B06"/>
    <w:rsid w:val="000A32BD"/>
    <w:rsid w:val="000A4B68"/>
    <w:rsid w:val="000A69FB"/>
    <w:rsid w:val="000A7089"/>
    <w:rsid w:val="000C100E"/>
    <w:rsid w:val="000C1B9D"/>
    <w:rsid w:val="000C37CD"/>
    <w:rsid w:val="000C5A45"/>
    <w:rsid w:val="000C68DA"/>
    <w:rsid w:val="000D18E2"/>
    <w:rsid w:val="000D212B"/>
    <w:rsid w:val="000E08F4"/>
    <w:rsid w:val="000E50C3"/>
    <w:rsid w:val="000E55AC"/>
    <w:rsid w:val="000F2A82"/>
    <w:rsid w:val="000F5158"/>
    <w:rsid w:val="00100000"/>
    <w:rsid w:val="00104830"/>
    <w:rsid w:val="00104A15"/>
    <w:rsid w:val="00122687"/>
    <w:rsid w:val="00126EDA"/>
    <w:rsid w:val="001325C9"/>
    <w:rsid w:val="00134CA4"/>
    <w:rsid w:val="00135A82"/>
    <w:rsid w:val="00141E1E"/>
    <w:rsid w:val="00142174"/>
    <w:rsid w:val="00142BC5"/>
    <w:rsid w:val="001457F1"/>
    <w:rsid w:val="0014580B"/>
    <w:rsid w:val="001461C7"/>
    <w:rsid w:val="00150413"/>
    <w:rsid w:val="0015155E"/>
    <w:rsid w:val="00151CEB"/>
    <w:rsid w:val="001531E7"/>
    <w:rsid w:val="00160048"/>
    <w:rsid w:val="00162BA8"/>
    <w:rsid w:val="00162D81"/>
    <w:rsid w:val="00166037"/>
    <w:rsid w:val="00167BA9"/>
    <w:rsid w:val="001702D8"/>
    <w:rsid w:val="001724D0"/>
    <w:rsid w:val="00175F2F"/>
    <w:rsid w:val="001927FD"/>
    <w:rsid w:val="001A126A"/>
    <w:rsid w:val="001A2CBC"/>
    <w:rsid w:val="001A6AC6"/>
    <w:rsid w:val="001B0FDD"/>
    <w:rsid w:val="001B1E2F"/>
    <w:rsid w:val="001B31C9"/>
    <w:rsid w:val="001B6FE1"/>
    <w:rsid w:val="001C0927"/>
    <w:rsid w:val="001C7C0D"/>
    <w:rsid w:val="001C7FED"/>
    <w:rsid w:val="001D267B"/>
    <w:rsid w:val="001D52C3"/>
    <w:rsid w:val="001D5B26"/>
    <w:rsid w:val="001E2E0B"/>
    <w:rsid w:val="001E6B6C"/>
    <w:rsid w:val="001F5DA6"/>
    <w:rsid w:val="00200DDD"/>
    <w:rsid w:val="0020123A"/>
    <w:rsid w:val="00204904"/>
    <w:rsid w:val="0020493E"/>
    <w:rsid w:val="002059D8"/>
    <w:rsid w:val="00205E36"/>
    <w:rsid w:val="00210FFF"/>
    <w:rsid w:val="002128E3"/>
    <w:rsid w:val="00212B79"/>
    <w:rsid w:val="00217900"/>
    <w:rsid w:val="00220CB6"/>
    <w:rsid w:val="00225077"/>
    <w:rsid w:val="002257EE"/>
    <w:rsid w:val="002261A0"/>
    <w:rsid w:val="002315E4"/>
    <w:rsid w:val="00232A0A"/>
    <w:rsid w:val="0024099B"/>
    <w:rsid w:val="00242F08"/>
    <w:rsid w:val="00247964"/>
    <w:rsid w:val="00250B03"/>
    <w:rsid w:val="0025424F"/>
    <w:rsid w:val="00254A51"/>
    <w:rsid w:val="00255D7E"/>
    <w:rsid w:val="00265C71"/>
    <w:rsid w:val="0027504A"/>
    <w:rsid w:val="00276C50"/>
    <w:rsid w:val="00276E34"/>
    <w:rsid w:val="0028263A"/>
    <w:rsid w:val="00286E12"/>
    <w:rsid w:val="00287FC2"/>
    <w:rsid w:val="00290B96"/>
    <w:rsid w:val="00292726"/>
    <w:rsid w:val="0029410F"/>
    <w:rsid w:val="00295F80"/>
    <w:rsid w:val="002A53FA"/>
    <w:rsid w:val="002B75D4"/>
    <w:rsid w:val="002C4807"/>
    <w:rsid w:val="002C654F"/>
    <w:rsid w:val="002D17F4"/>
    <w:rsid w:val="002D2F34"/>
    <w:rsid w:val="002D3EFE"/>
    <w:rsid w:val="002D6AF5"/>
    <w:rsid w:val="002D71B7"/>
    <w:rsid w:val="002F1966"/>
    <w:rsid w:val="002F3A7A"/>
    <w:rsid w:val="002F4052"/>
    <w:rsid w:val="002F452E"/>
    <w:rsid w:val="002F7564"/>
    <w:rsid w:val="00300EB6"/>
    <w:rsid w:val="00302EB0"/>
    <w:rsid w:val="003040E4"/>
    <w:rsid w:val="00305186"/>
    <w:rsid w:val="003071AF"/>
    <w:rsid w:val="003072DE"/>
    <w:rsid w:val="00312BC6"/>
    <w:rsid w:val="00312CBD"/>
    <w:rsid w:val="0031691B"/>
    <w:rsid w:val="00316C97"/>
    <w:rsid w:val="003173CA"/>
    <w:rsid w:val="00323CA7"/>
    <w:rsid w:val="003242AF"/>
    <w:rsid w:val="0033036A"/>
    <w:rsid w:val="00330BD3"/>
    <w:rsid w:val="003327C0"/>
    <w:rsid w:val="00334F71"/>
    <w:rsid w:val="00336EEF"/>
    <w:rsid w:val="00342FB0"/>
    <w:rsid w:val="0035550A"/>
    <w:rsid w:val="003577EA"/>
    <w:rsid w:val="00360917"/>
    <w:rsid w:val="00362D49"/>
    <w:rsid w:val="00373D7C"/>
    <w:rsid w:val="00377B22"/>
    <w:rsid w:val="0038553E"/>
    <w:rsid w:val="00386A7B"/>
    <w:rsid w:val="003873D5"/>
    <w:rsid w:val="00390498"/>
    <w:rsid w:val="003934EE"/>
    <w:rsid w:val="0039479F"/>
    <w:rsid w:val="00396B27"/>
    <w:rsid w:val="003A2EF9"/>
    <w:rsid w:val="003A7597"/>
    <w:rsid w:val="003B1CED"/>
    <w:rsid w:val="003B20C3"/>
    <w:rsid w:val="003B373D"/>
    <w:rsid w:val="003B45FD"/>
    <w:rsid w:val="003B490F"/>
    <w:rsid w:val="003B7FD7"/>
    <w:rsid w:val="003C5C6D"/>
    <w:rsid w:val="003C626D"/>
    <w:rsid w:val="003C73FB"/>
    <w:rsid w:val="003D0288"/>
    <w:rsid w:val="003D3E07"/>
    <w:rsid w:val="003D7FA8"/>
    <w:rsid w:val="003E158F"/>
    <w:rsid w:val="003E73DE"/>
    <w:rsid w:val="003E7AD5"/>
    <w:rsid w:val="003F00AD"/>
    <w:rsid w:val="003F12D0"/>
    <w:rsid w:val="0040012C"/>
    <w:rsid w:val="00401EF0"/>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6E70"/>
    <w:rsid w:val="00456F8C"/>
    <w:rsid w:val="004579FF"/>
    <w:rsid w:val="00460371"/>
    <w:rsid w:val="0046079B"/>
    <w:rsid w:val="00461EC0"/>
    <w:rsid w:val="00463B0C"/>
    <w:rsid w:val="00464A4F"/>
    <w:rsid w:val="00465669"/>
    <w:rsid w:val="00466682"/>
    <w:rsid w:val="00474ED9"/>
    <w:rsid w:val="00477789"/>
    <w:rsid w:val="00481255"/>
    <w:rsid w:val="00482552"/>
    <w:rsid w:val="00485E02"/>
    <w:rsid w:val="00494162"/>
    <w:rsid w:val="00495113"/>
    <w:rsid w:val="0049514C"/>
    <w:rsid w:val="0049619F"/>
    <w:rsid w:val="00496FA8"/>
    <w:rsid w:val="004A4E7B"/>
    <w:rsid w:val="004B2E3C"/>
    <w:rsid w:val="004B31E1"/>
    <w:rsid w:val="004B3AA0"/>
    <w:rsid w:val="004B4070"/>
    <w:rsid w:val="004B69D7"/>
    <w:rsid w:val="004C6A36"/>
    <w:rsid w:val="004D013C"/>
    <w:rsid w:val="004D46BE"/>
    <w:rsid w:val="004D7829"/>
    <w:rsid w:val="004E254D"/>
    <w:rsid w:val="004E3171"/>
    <w:rsid w:val="004E5969"/>
    <w:rsid w:val="004E61AA"/>
    <w:rsid w:val="004E6843"/>
    <w:rsid w:val="004E7E02"/>
    <w:rsid w:val="004F1660"/>
    <w:rsid w:val="004F609F"/>
    <w:rsid w:val="004F6CE6"/>
    <w:rsid w:val="00500E4A"/>
    <w:rsid w:val="00505644"/>
    <w:rsid w:val="0050646B"/>
    <w:rsid w:val="005076F2"/>
    <w:rsid w:val="005107A5"/>
    <w:rsid w:val="00530844"/>
    <w:rsid w:val="00530B04"/>
    <w:rsid w:val="00531E06"/>
    <w:rsid w:val="005369B8"/>
    <w:rsid w:val="00540413"/>
    <w:rsid w:val="005440C1"/>
    <w:rsid w:val="00553115"/>
    <w:rsid w:val="0055445A"/>
    <w:rsid w:val="0055721F"/>
    <w:rsid w:val="0055778B"/>
    <w:rsid w:val="005603EF"/>
    <w:rsid w:val="00563FB0"/>
    <w:rsid w:val="00564D26"/>
    <w:rsid w:val="005676BE"/>
    <w:rsid w:val="00572B63"/>
    <w:rsid w:val="005822BA"/>
    <w:rsid w:val="00583339"/>
    <w:rsid w:val="00586D7A"/>
    <w:rsid w:val="00587F9B"/>
    <w:rsid w:val="00592986"/>
    <w:rsid w:val="00594F37"/>
    <w:rsid w:val="005A6CD0"/>
    <w:rsid w:val="005A7FF6"/>
    <w:rsid w:val="005B5A09"/>
    <w:rsid w:val="005B7ECD"/>
    <w:rsid w:val="005C09FE"/>
    <w:rsid w:val="005C0E12"/>
    <w:rsid w:val="005C24C9"/>
    <w:rsid w:val="005C5BA4"/>
    <w:rsid w:val="005C6643"/>
    <w:rsid w:val="005C6B4C"/>
    <w:rsid w:val="005D309E"/>
    <w:rsid w:val="005E03DF"/>
    <w:rsid w:val="005E09D4"/>
    <w:rsid w:val="005E13A6"/>
    <w:rsid w:val="005E1A91"/>
    <w:rsid w:val="005E459E"/>
    <w:rsid w:val="005E70AF"/>
    <w:rsid w:val="005E73B5"/>
    <w:rsid w:val="005F0908"/>
    <w:rsid w:val="005F1734"/>
    <w:rsid w:val="005F63D2"/>
    <w:rsid w:val="005F68C4"/>
    <w:rsid w:val="006047BE"/>
    <w:rsid w:val="006052E2"/>
    <w:rsid w:val="00606A20"/>
    <w:rsid w:val="006124F9"/>
    <w:rsid w:val="0061626A"/>
    <w:rsid w:val="00621B1D"/>
    <w:rsid w:val="0062247A"/>
    <w:rsid w:val="006242E4"/>
    <w:rsid w:val="0063024C"/>
    <w:rsid w:val="00636DFE"/>
    <w:rsid w:val="006413A7"/>
    <w:rsid w:val="0064152A"/>
    <w:rsid w:val="00642466"/>
    <w:rsid w:val="006427C8"/>
    <w:rsid w:val="00643E90"/>
    <w:rsid w:val="00646AEF"/>
    <w:rsid w:val="00646B7C"/>
    <w:rsid w:val="006474CC"/>
    <w:rsid w:val="00647782"/>
    <w:rsid w:val="0065182B"/>
    <w:rsid w:val="00651869"/>
    <w:rsid w:val="0065314B"/>
    <w:rsid w:val="0065385D"/>
    <w:rsid w:val="00654588"/>
    <w:rsid w:val="00657190"/>
    <w:rsid w:val="00663073"/>
    <w:rsid w:val="0066355E"/>
    <w:rsid w:val="00663BD2"/>
    <w:rsid w:val="006678A2"/>
    <w:rsid w:val="0067076C"/>
    <w:rsid w:val="00671E8F"/>
    <w:rsid w:val="006740B4"/>
    <w:rsid w:val="006746AD"/>
    <w:rsid w:val="0067690E"/>
    <w:rsid w:val="00677092"/>
    <w:rsid w:val="00677D23"/>
    <w:rsid w:val="00681739"/>
    <w:rsid w:val="00686E54"/>
    <w:rsid w:val="0069005D"/>
    <w:rsid w:val="006900DA"/>
    <w:rsid w:val="00690F85"/>
    <w:rsid w:val="00693D15"/>
    <w:rsid w:val="00694AB7"/>
    <w:rsid w:val="00696312"/>
    <w:rsid w:val="006A13DD"/>
    <w:rsid w:val="006A3A08"/>
    <w:rsid w:val="006A466C"/>
    <w:rsid w:val="006B01A9"/>
    <w:rsid w:val="006B2FE3"/>
    <w:rsid w:val="006B7D13"/>
    <w:rsid w:val="006C2844"/>
    <w:rsid w:val="006C3DF1"/>
    <w:rsid w:val="006C5075"/>
    <w:rsid w:val="006C6263"/>
    <w:rsid w:val="006C70EB"/>
    <w:rsid w:val="006D2034"/>
    <w:rsid w:val="006D5AAA"/>
    <w:rsid w:val="006D5E2A"/>
    <w:rsid w:val="006D6AC7"/>
    <w:rsid w:val="006E264A"/>
    <w:rsid w:val="006F13B0"/>
    <w:rsid w:val="006F2EFA"/>
    <w:rsid w:val="006F5283"/>
    <w:rsid w:val="006F6B7B"/>
    <w:rsid w:val="006F73E6"/>
    <w:rsid w:val="006F780A"/>
    <w:rsid w:val="007043DE"/>
    <w:rsid w:val="0070601F"/>
    <w:rsid w:val="00706307"/>
    <w:rsid w:val="007077EF"/>
    <w:rsid w:val="00707CEB"/>
    <w:rsid w:val="00707D3B"/>
    <w:rsid w:val="007115A4"/>
    <w:rsid w:val="0071385C"/>
    <w:rsid w:val="00713BB4"/>
    <w:rsid w:val="00714CDF"/>
    <w:rsid w:val="00722E5A"/>
    <w:rsid w:val="007239AE"/>
    <w:rsid w:val="00730F6F"/>
    <w:rsid w:val="0073176A"/>
    <w:rsid w:val="00731A06"/>
    <w:rsid w:val="00734A9A"/>
    <w:rsid w:val="0073591B"/>
    <w:rsid w:val="007505C9"/>
    <w:rsid w:val="007603C1"/>
    <w:rsid w:val="00760AAA"/>
    <w:rsid w:val="007659D0"/>
    <w:rsid w:val="00770BD5"/>
    <w:rsid w:val="00777F7E"/>
    <w:rsid w:val="0078098C"/>
    <w:rsid w:val="00784ECC"/>
    <w:rsid w:val="0078623A"/>
    <w:rsid w:val="00790405"/>
    <w:rsid w:val="0079235C"/>
    <w:rsid w:val="007932B9"/>
    <w:rsid w:val="007A3C3B"/>
    <w:rsid w:val="007A4016"/>
    <w:rsid w:val="007A4791"/>
    <w:rsid w:val="007B0C03"/>
    <w:rsid w:val="007B1654"/>
    <w:rsid w:val="007B3846"/>
    <w:rsid w:val="007C4942"/>
    <w:rsid w:val="007D1E27"/>
    <w:rsid w:val="007D452A"/>
    <w:rsid w:val="007D455E"/>
    <w:rsid w:val="007D4DFA"/>
    <w:rsid w:val="007D5AC9"/>
    <w:rsid w:val="007E004B"/>
    <w:rsid w:val="007E067C"/>
    <w:rsid w:val="007E2B5B"/>
    <w:rsid w:val="007E337B"/>
    <w:rsid w:val="007E4650"/>
    <w:rsid w:val="007E4BD0"/>
    <w:rsid w:val="007E72A3"/>
    <w:rsid w:val="007E747A"/>
    <w:rsid w:val="007F6452"/>
    <w:rsid w:val="00800455"/>
    <w:rsid w:val="0080381A"/>
    <w:rsid w:val="00803B1B"/>
    <w:rsid w:val="00806A6F"/>
    <w:rsid w:val="00810A1B"/>
    <w:rsid w:val="008110D0"/>
    <w:rsid w:val="0082620E"/>
    <w:rsid w:val="008369B8"/>
    <w:rsid w:val="008370DD"/>
    <w:rsid w:val="00847EED"/>
    <w:rsid w:val="0085208F"/>
    <w:rsid w:val="0085472E"/>
    <w:rsid w:val="0085483F"/>
    <w:rsid w:val="0085768E"/>
    <w:rsid w:val="00860DFE"/>
    <w:rsid w:val="00863133"/>
    <w:rsid w:val="00863389"/>
    <w:rsid w:val="00865697"/>
    <w:rsid w:val="008759B2"/>
    <w:rsid w:val="00876A34"/>
    <w:rsid w:val="00881175"/>
    <w:rsid w:val="008818C5"/>
    <w:rsid w:val="00884A4A"/>
    <w:rsid w:val="00892216"/>
    <w:rsid w:val="00896203"/>
    <w:rsid w:val="00896B0A"/>
    <w:rsid w:val="008A2C42"/>
    <w:rsid w:val="008B0ED1"/>
    <w:rsid w:val="008B12CB"/>
    <w:rsid w:val="008B6D60"/>
    <w:rsid w:val="008B79E9"/>
    <w:rsid w:val="008C51DA"/>
    <w:rsid w:val="008C6975"/>
    <w:rsid w:val="008C6C5A"/>
    <w:rsid w:val="008C6D14"/>
    <w:rsid w:val="008D1F35"/>
    <w:rsid w:val="008D5458"/>
    <w:rsid w:val="008D59A1"/>
    <w:rsid w:val="008E25FE"/>
    <w:rsid w:val="008E2BD5"/>
    <w:rsid w:val="008E2D8A"/>
    <w:rsid w:val="008E5D29"/>
    <w:rsid w:val="008E649E"/>
    <w:rsid w:val="008E715F"/>
    <w:rsid w:val="008F2749"/>
    <w:rsid w:val="0090039A"/>
    <w:rsid w:val="00902966"/>
    <w:rsid w:val="0090571D"/>
    <w:rsid w:val="00907769"/>
    <w:rsid w:val="009126CB"/>
    <w:rsid w:val="00913C8B"/>
    <w:rsid w:val="009150D5"/>
    <w:rsid w:val="009203F8"/>
    <w:rsid w:val="009261A6"/>
    <w:rsid w:val="00926FEB"/>
    <w:rsid w:val="00940723"/>
    <w:rsid w:val="00944758"/>
    <w:rsid w:val="0095231A"/>
    <w:rsid w:val="00953E51"/>
    <w:rsid w:val="00954B20"/>
    <w:rsid w:val="00956C9F"/>
    <w:rsid w:val="00957DFD"/>
    <w:rsid w:val="00957F4C"/>
    <w:rsid w:val="00964E43"/>
    <w:rsid w:val="0096637A"/>
    <w:rsid w:val="00966887"/>
    <w:rsid w:val="00970791"/>
    <w:rsid w:val="00970E5F"/>
    <w:rsid w:val="009778D4"/>
    <w:rsid w:val="00977ECE"/>
    <w:rsid w:val="009817F3"/>
    <w:rsid w:val="00982D6E"/>
    <w:rsid w:val="00983605"/>
    <w:rsid w:val="00984E9C"/>
    <w:rsid w:val="00990C75"/>
    <w:rsid w:val="009966AF"/>
    <w:rsid w:val="009A41C1"/>
    <w:rsid w:val="009A6135"/>
    <w:rsid w:val="009B0EED"/>
    <w:rsid w:val="009B7D52"/>
    <w:rsid w:val="009C08E4"/>
    <w:rsid w:val="009C7910"/>
    <w:rsid w:val="009D16D0"/>
    <w:rsid w:val="009E046A"/>
    <w:rsid w:val="009E2D9B"/>
    <w:rsid w:val="009E2FF8"/>
    <w:rsid w:val="009F3650"/>
    <w:rsid w:val="009F64ED"/>
    <w:rsid w:val="00A029DB"/>
    <w:rsid w:val="00A0336C"/>
    <w:rsid w:val="00A05961"/>
    <w:rsid w:val="00A07243"/>
    <w:rsid w:val="00A12697"/>
    <w:rsid w:val="00A1357A"/>
    <w:rsid w:val="00A15421"/>
    <w:rsid w:val="00A17E57"/>
    <w:rsid w:val="00A206BD"/>
    <w:rsid w:val="00A208E5"/>
    <w:rsid w:val="00A24DC7"/>
    <w:rsid w:val="00A2511A"/>
    <w:rsid w:val="00A25CE6"/>
    <w:rsid w:val="00A32179"/>
    <w:rsid w:val="00A32295"/>
    <w:rsid w:val="00A37249"/>
    <w:rsid w:val="00A37746"/>
    <w:rsid w:val="00A402FD"/>
    <w:rsid w:val="00A41051"/>
    <w:rsid w:val="00A42809"/>
    <w:rsid w:val="00A44A92"/>
    <w:rsid w:val="00A503FC"/>
    <w:rsid w:val="00A53238"/>
    <w:rsid w:val="00A53A3A"/>
    <w:rsid w:val="00A57D0E"/>
    <w:rsid w:val="00A64768"/>
    <w:rsid w:val="00A6477E"/>
    <w:rsid w:val="00A6559A"/>
    <w:rsid w:val="00A65AFB"/>
    <w:rsid w:val="00A71163"/>
    <w:rsid w:val="00A74344"/>
    <w:rsid w:val="00A819C8"/>
    <w:rsid w:val="00A84DF2"/>
    <w:rsid w:val="00A85482"/>
    <w:rsid w:val="00A864FC"/>
    <w:rsid w:val="00A936F7"/>
    <w:rsid w:val="00A93ADC"/>
    <w:rsid w:val="00A93CF8"/>
    <w:rsid w:val="00AA2A07"/>
    <w:rsid w:val="00AB086E"/>
    <w:rsid w:val="00AB4CF8"/>
    <w:rsid w:val="00AC2C24"/>
    <w:rsid w:val="00AC2F53"/>
    <w:rsid w:val="00AC415D"/>
    <w:rsid w:val="00AC4A7D"/>
    <w:rsid w:val="00AC622E"/>
    <w:rsid w:val="00AD4640"/>
    <w:rsid w:val="00AD6A52"/>
    <w:rsid w:val="00AD7994"/>
    <w:rsid w:val="00AD7BF2"/>
    <w:rsid w:val="00AE1DAB"/>
    <w:rsid w:val="00AE4392"/>
    <w:rsid w:val="00AF03C4"/>
    <w:rsid w:val="00AF33D4"/>
    <w:rsid w:val="00AF4A07"/>
    <w:rsid w:val="00AF4B2F"/>
    <w:rsid w:val="00AF5853"/>
    <w:rsid w:val="00AF7017"/>
    <w:rsid w:val="00B0009D"/>
    <w:rsid w:val="00B020FD"/>
    <w:rsid w:val="00B028E2"/>
    <w:rsid w:val="00B061C0"/>
    <w:rsid w:val="00B22200"/>
    <w:rsid w:val="00B2580D"/>
    <w:rsid w:val="00B25D18"/>
    <w:rsid w:val="00B26432"/>
    <w:rsid w:val="00B26D49"/>
    <w:rsid w:val="00B30009"/>
    <w:rsid w:val="00B30590"/>
    <w:rsid w:val="00B36186"/>
    <w:rsid w:val="00B412F4"/>
    <w:rsid w:val="00B4287D"/>
    <w:rsid w:val="00B44092"/>
    <w:rsid w:val="00B53815"/>
    <w:rsid w:val="00B53AD1"/>
    <w:rsid w:val="00B53BC2"/>
    <w:rsid w:val="00B613E8"/>
    <w:rsid w:val="00B70303"/>
    <w:rsid w:val="00B7050D"/>
    <w:rsid w:val="00B707EF"/>
    <w:rsid w:val="00B758BF"/>
    <w:rsid w:val="00B816FB"/>
    <w:rsid w:val="00B82D5A"/>
    <w:rsid w:val="00B83E67"/>
    <w:rsid w:val="00B865D9"/>
    <w:rsid w:val="00B95BEA"/>
    <w:rsid w:val="00BA6E30"/>
    <w:rsid w:val="00BB4F18"/>
    <w:rsid w:val="00BC2173"/>
    <w:rsid w:val="00BC317E"/>
    <w:rsid w:val="00BC4D36"/>
    <w:rsid w:val="00BC5A24"/>
    <w:rsid w:val="00BD499B"/>
    <w:rsid w:val="00BE0768"/>
    <w:rsid w:val="00BE0880"/>
    <w:rsid w:val="00BE14E6"/>
    <w:rsid w:val="00BE250E"/>
    <w:rsid w:val="00BE576A"/>
    <w:rsid w:val="00BE6CF3"/>
    <w:rsid w:val="00BE7F81"/>
    <w:rsid w:val="00BF4B25"/>
    <w:rsid w:val="00C0027D"/>
    <w:rsid w:val="00C01C9F"/>
    <w:rsid w:val="00C03812"/>
    <w:rsid w:val="00C076BF"/>
    <w:rsid w:val="00C20861"/>
    <w:rsid w:val="00C23FA3"/>
    <w:rsid w:val="00C25BDC"/>
    <w:rsid w:val="00C26567"/>
    <w:rsid w:val="00C26709"/>
    <w:rsid w:val="00C272A1"/>
    <w:rsid w:val="00C320B3"/>
    <w:rsid w:val="00C36E8E"/>
    <w:rsid w:val="00C372EC"/>
    <w:rsid w:val="00C3754F"/>
    <w:rsid w:val="00C42335"/>
    <w:rsid w:val="00C44F57"/>
    <w:rsid w:val="00C474AA"/>
    <w:rsid w:val="00C5034B"/>
    <w:rsid w:val="00C52AEE"/>
    <w:rsid w:val="00C532F8"/>
    <w:rsid w:val="00C54504"/>
    <w:rsid w:val="00C56993"/>
    <w:rsid w:val="00C63B03"/>
    <w:rsid w:val="00C642E8"/>
    <w:rsid w:val="00C66D08"/>
    <w:rsid w:val="00C72D90"/>
    <w:rsid w:val="00C7640F"/>
    <w:rsid w:val="00C76757"/>
    <w:rsid w:val="00C81E5B"/>
    <w:rsid w:val="00C92114"/>
    <w:rsid w:val="00C928D3"/>
    <w:rsid w:val="00C92A04"/>
    <w:rsid w:val="00CA1196"/>
    <w:rsid w:val="00CA1675"/>
    <w:rsid w:val="00CB6BE5"/>
    <w:rsid w:val="00CC1E86"/>
    <w:rsid w:val="00CD2A68"/>
    <w:rsid w:val="00CD6847"/>
    <w:rsid w:val="00CE5803"/>
    <w:rsid w:val="00CE6E4D"/>
    <w:rsid w:val="00CF3F8F"/>
    <w:rsid w:val="00CF49C3"/>
    <w:rsid w:val="00D02DE5"/>
    <w:rsid w:val="00D04897"/>
    <w:rsid w:val="00D04BC9"/>
    <w:rsid w:val="00D058BC"/>
    <w:rsid w:val="00D110CC"/>
    <w:rsid w:val="00D141B3"/>
    <w:rsid w:val="00D14349"/>
    <w:rsid w:val="00D155C0"/>
    <w:rsid w:val="00D2036F"/>
    <w:rsid w:val="00D22B54"/>
    <w:rsid w:val="00D23290"/>
    <w:rsid w:val="00D2733E"/>
    <w:rsid w:val="00D329AA"/>
    <w:rsid w:val="00D33E82"/>
    <w:rsid w:val="00D34818"/>
    <w:rsid w:val="00D3542C"/>
    <w:rsid w:val="00D377A1"/>
    <w:rsid w:val="00D405A1"/>
    <w:rsid w:val="00D47331"/>
    <w:rsid w:val="00D47AFB"/>
    <w:rsid w:val="00D500AC"/>
    <w:rsid w:val="00D51313"/>
    <w:rsid w:val="00D54E6C"/>
    <w:rsid w:val="00D56F35"/>
    <w:rsid w:val="00D57D20"/>
    <w:rsid w:val="00D66DCA"/>
    <w:rsid w:val="00D6718D"/>
    <w:rsid w:val="00D71331"/>
    <w:rsid w:val="00D7604F"/>
    <w:rsid w:val="00D77D26"/>
    <w:rsid w:val="00D810B1"/>
    <w:rsid w:val="00D851AB"/>
    <w:rsid w:val="00D859ED"/>
    <w:rsid w:val="00D85D8D"/>
    <w:rsid w:val="00D86F91"/>
    <w:rsid w:val="00D9164A"/>
    <w:rsid w:val="00DA3435"/>
    <w:rsid w:val="00DA6189"/>
    <w:rsid w:val="00DB06AA"/>
    <w:rsid w:val="00DB6D71"/>
    <w:rsid w:val="00DB7B66"/>
    <w:rsid w:val="00DC4A5F"/>
    <w:rsid w:val="00DC67D8"/>
    <w:rsid w:val="00DC6A2A"/>
    <w:rsid w:val="00DD3092"/>
    <w:rsid w:val="00DE2F2D"/>
    <w:rsid w:val="00DE34B2"/>
    <w:rsid w:val="00DF1865"/>
    <w:rsid w:val="00DF434D"/>
    <w:rsid w:val="00E00594"/>
    <w:rsid w:val="00E07936"/>
    <w:rsid w:val="00E117CD"/>
    <w:rsid w:val="00E140F7"/>
    <w:rsid w:val="00E23F17"/>
    <w:rsid w:val="00E24211"/>
    <w:rsid w:val="00E25566"/>
    <w:rsid w:val="00E349DE"/>
    <w:rsid w:val="00E36734"/>
    <w:rsid w:val="00E36736"/>
    <w:rsid w:val="00E37196"/>
    <w:rsid w:val="00E40973"/>
    <w:rsid w:val="00E4107C"/>
    <w:rsid w:val="00E4142B"/>
    <w:rsid w:val="00E430EA"/>
    <w:rsid w:val="00E4350D"/>
    <w:rsid w:val="00E45D74"/>
    <w:rsid w:val="00E462A7"/>
    <w:rsid w:val="00E46B31"/>
    <w:rsid w:val="00E51DBF"/>
    <w:rsid w:val="00E5503F"/>
    <w:rsid w:val="00E56F8A"/>
    <w:rsid w:val="00E56FF3"/>
    <w:rsid w:val="00E6127F"/>
    <w:rsid w:val="00E67452"/>
    <w:rsid w:val="00E70EAC"/>
    <w:rsid w:val="00E760CC"/>
    <w:rsid w:val="00E77640"/>
    <w:rsid w:val="00E779E1"/>
    <w:rsid w:val="00E842E1"/>
    <w:rsid w:val="00E84588"/>
    <w:rsid w:val="00E85293"/>
    <w:rsid w:val="00E86730"/>
    <w:rsid w:val="00E87003"/>
    <w:rsid w:val="00E96F47"/>
    <w:rsid w:val="00EA14B9"/>
    <w:rsid w:val="00EA5745"/>
    <w:rsid w:val="00EA656A"/>
    <w:rsid w:val="00EB628D"/>
    <w:rsid w:val="00EB7942"/>
    <w:rsid w:val="00EC0AE4"/>
    <w:rsid w:val="00EC15AE"/>
    <w:rsid w:val="00EC1B41"/>
    <w:rsid w:val="00EC26DB"/>
    <w:rsid w:val="00EC6D7E"/>
    <w:rsid w:val="00ED1385"/>
    <w:rsid w:val="00ED13BC"/>
    <w:rsid w:val="00ED2663"/>
    <w:rsid w:val="00EE2052"/>
    <w:rsid w:val="00EE2C79"/>
    <w:rsid w:val="00EE385F"/>
    <w:rsid w:val="00EF674F"/>
    <w:rsid w:val="00EF6C5E"/>
    <w:rsid w:val="00F0266D"/>
    <w:rsid w:val="00F027E8"/>
    <w:rsid w:val="00F0373A"/>
    <w:rsid w:val="00F06898"/>
    <w:rsid w:val="00F119FE"/>
    <w:rsid w:val="00F11ACB"/>
    <w:rsid w:val="00F1468D"/>
    <w:rsid w:val="00F17E21"/>
    <w:rsid w:val="00F21693"/>
    <w:rsid w:val="00F21E1B"/>
    <w:rsid w:val="00F23574"/>
    <w:rsid w:val="00F24E65"/>
    <w:rsid w:val="00F30F37"/>
    <w:rsid w:val="00F34D9C"/>
    <w:rsid w:val="00F37121"/>
    <w:rsid w:val="00F37168"/>
    <w:rsid w:val="00F431CC"/>
    <w:rsid w:val="00F434A7"/>
    <w:rsid w:val="00F47913"/>
    <w:rsid w:val="00F516C7"/>
    <w:rsid w:val="00F5181F"/>
    <w:rsid w:val="00F53128"/>
    <w:rsid w:val="00F55DFE"/>
    <w:rsid w:val="00F56661"/>
    <w:rsid w:val="00F60439"/>
    <w:rsid w:val="00F64734"/>
    <w:rsid w:val="00F65379"/>
    <w:rsid w:val="00F6659C"/>
    <w:rsid w:val="00F70EDB"/>
    <w:rsid w:val="00F73C61"/>
    <w:rsid w:val="00F744EA"/>
    <w:rsid w:val="00F751EE"/>
    <w:rsid w:val="00F765D7"/>
    <w:rsid w:val="00F76DB2"/>
    <w:rsid w:val="00F80356"/>
    <w:rsid w:val="00F80AF6"/>
    <w:rsid w:val="00F83D25"/>
    <w:rsid w:val="00F861AF"/>
    <w:rsid w:val="00F940C1"/>
    <w:rsid w:val="00F95046"/>
    <w:rsid w:val="00F95181"/>
    <w:rsid w:val="00F95A00"/>
    <w:rsid w:val="00F95D10"/>
    <w:rsid w:val="00F96C76"/>
    <w:rsid w:val="00FA28B0"/>
    <w:rsid w:val="00FA3186"/>
    <w:rsid w:val="00FB763D"/>
    <w:rsid w:val="00FC3E37"/>
    <w:rsid w:val="00FD1B1F"/>
    <w:rsid w:val="00FD4FA8"/>
    <w:rsid w:val="00FD5E85"/>
    <w:rsid w:val="00FE131E"/>
    <w:rsid w:val="00FE1567"/>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qFormat/>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35"/>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5"/>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A07243"/>
    <w:rPr>
      <w:rFonts w:ascii="Calibri" w:eastAsia="Calibri" w:hAnsi="Calibri" w:cs="Times New Roman"/>
      <w:b/>
      <w:lang w:val="en-GB"/>
    </w:rPr>
  </w:style>
  <w:style w:type="paragraph" w:customStyle="1" w:styleId="textintend1">
    <w:name w:val="text intend 1"/>
    <w:basedOn w:val="Normal"/>
    <w:rsid w:val="00636DFE"/>
    <w:pPr>
      <w:numPr>
        <w:numId w:val="22"/>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182431678">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5A438-7A2F-4E66-B0AD-1D5C1F14F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1657</Words>
  <Characters>9449</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3</cp:revision>
  <cp:lastPrinted>2019-10-03T12:34:00Z</cp:lastPrinted>
  <dcterms:created xsi:type="dcterms:W3CDTF">2020-05-15T20:17:00Z</dcterms:created>
  <dcterms:modified xsi:type="dcterms:W3CDTF">2020-05-15T20:46:00Z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